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C63F7" w14:textId="77777777" w:rsidR="006D018F" w:rsidRPr="00664FD3" w:rsidRDefault="00000000" w:rsidP="00564872">
      <w:pPr>
        <w:spacing w:after="80"/>
        <w:jc w:val="center"/>
        <w:rPr>
          <w:rFonts w:ascii="Calibri" w:hAnsi="Calibri" w:cs="Calibri"/>
        </w:rPr>
      </w:pPr>
      <w:proofErr w:type="spellStart"/>
      <w:r w:rsidRPr="00664FD3">
        <w:rPr>
          <w:rFonts w:ascii="Calibri" w:hAnsi="Calibri" w:cs="Calibri"/>
          <w:b/>
          <w:bCs/>
          <w:sz w:val="28"/>
          <w:szCs w:val="28"/>
        </w:rPr>
        <w:t>Ecolinguistic</w:t>
      </w:r>
      <w:proofErr w:type="spellEnd"/>
      <w:r w:rsidRPr="00664FD3">
        <w:rPr>
          <w:rFonts w:ascii="Calibri" w:hAnsi="Calibri" w:cs="Calibri"/>
          <w:b/>
          <w:bCs/>
          <w:sz w:val="28"/>
          <w:szCs w:val="28"/>
        </w:rPr>
        <w:t xml:space="preserve"> Constructions of Environmental Vulnerability: Discourses of Rohingya Refugees in Cox’s Bazar, Bangladesh</w:t>
      </w:r>
    </w:p>
    <w:p w14:paraId="62C3BEB0" w14:textId="4114B807" w:rsidR="006D018F" w:rsidRPr="00664FD3" w:rsidRDefault="00000000" w:rsidP="00564872">
      <w:pPr>
        <w:jc w:val="center"/>
        <w:rPr>
          <w:rFonts w:ascii="Calibri" w:hAnsi="Calibri" w:cs="Calibri"/>
          <w:i/>
          <w:iCs/>
          <w:vertAlign w:val="superscript"/>
        </w:rPr>
      </w:pPr>
      <w:proofErr w:type="spellStart"/>
      <w:r w:rsidRPr="00664FD3">
        <w:rPr>
          <w:rFonts w:ascii="Calibri" w:hAnsi="Calibri" w:cs="Calibri"/>
          <w:i/>
          <w:iCs/>
        </w:rPr>
        <w:t>Ehatasham</w:t>
      </w:r>
      <w:proofErr w:type="spellEnd"/>
      <w:r w:rsidRPr="00664FD3">
        <w:rPr>
          <w:rFonts w:ascii="Calibri" w:hAnsi="Calibri" w:cs="Calibri"/>
          <w:i/>
          <w:iCs/>
        </w:rPr>
        <w:t xml:space="preserve"> Ul Hoque Eiten</w:t>
      </w:r>
      <w:r w:rsidR="00EC2DC1" w:rsidRPr="00664FD3">
        <w:rPr>
          <w:rFonts w:ascii="Calibri" w:hAnsi="Calibri" w:cs="Calibri"/>
          <w:i/>
          <w:iCs/>
          <w:vertAlign w:val="superscript"/>
        </w:rPr>
        <w:t>1</w:t>
      </w:r>
      <w:r w:rsidR="00EC2DC1" w:rsidRPr="00664FD3">
        <w:rPr>
          <w:rFonts w:ascii="Calibri" w:hAnsi="Calibri" w:cs="Calibri"/>
          <w:i/>
          <w:iCs/>
        </w:rPr>
        <w:t xml:space="preserve">; </w:t>
      </w:r>
      <w:r w:rsidRPr="00664FD3">
        <w:rPr>
          <w:rFonts w:ascii="Calibri" w:hAnsi="Calibri" w:cs="Calibri"/>
          <w:i/>
          <w:iCs/>
        </w:rPr>
        <w:t xml:space="preserve">Ali </w:t>
      </w:r>
      <w:proofErr w:type="spellStart"/>
      <w:r w:rsidRPr="00664FD3">
        <w:rPr>
          <w:rFonts w:ascii="Calibri" w:hAnsi="Calibri" w:cs="Calibri"/>
          <w:i/>
          <w:iCs/>
        </w:rPr>
        <w:t>Sorayyaei</w:t>
      </w:r>
      <w:proofErr w:type="spellEnd"/>
      <w:r w:rsidRPr="00664FD3">
        <w:rPr>
          <w:rFonts w:ascii="Calibri" w:hAnsi="Calibri" w:cs="Calibri"/>
          <w:i/>
          <w:iCs/>
        </w:rPr>
        <w:t xml:space="preserve"> Azar</w:t>
      </w:r>
      <w:r w:rsidR="00EC2DC1" w:rsidRPr="00664FD3">
        <w:rPr>
          <w:rFonts w:ascii="Calibri" w:hAnsi="Calibri" w:cs="Calibri"/>
          <w:i/>
          <w:iCs/>
          <w:vertAlign w:val="superscript"/>
        </w:rPr>
        <w:t>2</w:t>
      </w:r>
    </w:p>
    <w:p w14:paraId="5363D7FC" w14:textId="77777777" w:rsidR="00EC2DC1" w:rsidRPr="00664FD3" w:rsidRDefault="00EC2DC1" w:rsidP="00564872">
      <w:pPr>
        <w:jc w:val="center"/>
        <w:rPr>
          <w:rFonts w:ascii="Calibri" w:hAnsi="Calibri" w:cs="Calibri"/>
        </w:rPr>
      </w:pPr>
    </w:p>
    <w:p w14:paraId="0A775C7A" w14:textId="3280FA80" w:rsidR="006D018F" w:rsidRPr="00664FD3" w:rsidRDefault="00000000" w:rsidP="00564872">
      <w:pPr>
        <w:jc w:val="center"/>
        <w:rPr>
          <w:rFonts w:ascii="Calibri" w:hAnsi="Calibri" w:cs="Calibri"/>
        </w:rPr>
      </w:pPr>
      <w:r w:rsidRPr="00664FD3">
        <w:rPr>
          <w:rFonts w:ascii="Calibri" w:hAnsi="Calibri" w:cs="Calibri"/>
          <w:vertAlign w:val="superscript"/>
        </w:rPr>
        <w:t>1</w:t>
      </w:r>
      <w:r w:rsidRPr="00664FD3">
        <w:rPr>
          <w:rFonts w:ascii="Calibri" w:hAnsi="Calibri" w:cs="Calibri"/>
        </w:rPr>
        <w:t xml:space="preserve">Lincoln University College, Malaysia, </w:t>
      </w:r>
      <w:hyperlink r:id="rId6">
        <w:r w:rsidR="006D018F" w:rsidRPr="00664FD3">
          <w:rPr>
            <w:rFonts w:ascii="Calibri" w:hAnsi="Calibri" w:cs="Calibri"/>
            <w:color w:val="1155CC"/>
            <w:u w:val="single"/>
          </w:rPr>
          <w:t>pdf.Ehatasham@lincoln.edu.my</w:t>
        </w:r>
      </w:hyperlink>
    </w:p>
    <w:p w14:paraId="2023756F" w14:textId="6AD14864" w:rsidR="006D018F" w:rsidRPr="00664FD3" w:rsidRDefault="00EC2DC1" w:rsidP="00564872">
      <w:pPr>
        <w:jc w:val="center"/>
        <w:rPr>
          <w:rFonts w:ascii="Calibri" w:hAnsi="Calibri" w:cs="Calibri"/>
        </w:rPr>
      </w:pPr>
      <w:r w:rsidRPr="00664FD3">
        <w:rPr>
          <w:rFonts w:ascii="Calibri" w:hAnsi="Calibri" w:cs="Calibri"/>
          <w:vertAlign w:val="superscript"/>
        </w:rPr>
        <w:t>2</w:t>
      </w:r>
      <w:r w:rsidRPr="00664FD3">
        <w:rPr>
          <w:rFonts w:ascii="Calibri" w:hAnsi="Calibri" w:cs="Calibri"/>
        </w:rPr>
        <w:t xml:space="preserve">University of Malaya, </w:t>
      </w:r>
      <w:hyperlink r:id="rId7" w:history="1">
        <w:r w:rsidRPr="00664FD3">
          <w:rPr>
            <w:rStyle w:val="Hyperlink"/>
            <w:rFonts w:ascii="Calibri" w:hAnsi="Calibri" w:cs="Calibri"/>
          </w:rPr>
          <w:t>azarsorrayaie@um.edu.my</w:t>
        </w:r>
      </w:hyperlink>
    </w:p>
    <w:p w14:paraId="167B9031" w14:textId="77777777" w:rsidR="00EC2DC1" w:rsidRPr="00664FD3" w:rsidRDefault="00EC2DC1" w:rsidP="00564872">
      <w:pPr>
        <w:jc w:val="both"/>
        <w:rPr>
          <w:rFonts w:ascii="Calibri" w:hAnsi="Calibri" w:cs="Calibri"/>
          <w:b/>
          <w:bCs/>
        </w:rPr>
      </w:pPr>
    </w:p>
    <w:p w14:paraId="63FA665F" w14:textId="73285F51" w:rsidR="00181D52" w:rsidRPr="00664FD3" w:rsidRDefault="00000000" w:rsidP="00564872">
      <w:pPr>
        <w:jc w:val="both"/>
        <w:rPr>
          <w:rFonts w:ascii="Calibri" w:hAnsi="Calibri" w:cs="Calibri"/>
        </w:rPr>
      </w:pPr>
      <w:r w:rsidRPr="00664FD3">
        <w:rPr>
          <w:rFonts w:ascii="Calibri" w:hAnsi="Calibri" w:cs="Calibri"/>
          <w:b/>
          <w:bCs/>
        </w:rPr>
        <w:t>Abstract</w:t>
      </w:r>
    </w:p>
    <w:p w14:paraId="0B5CF73F" w14:textId="2B7288E4" w:rsidR="006D018F" w:rsidRPr="00664FD3" w:rsidRDefault="00564872" w:rsidP="00564872">
      <w:pPr>
        <w:jc w:val="both"/>
        <w:rPr>
          <w:rFonts w:ascii="Calibri" w:hAnsi="Calibri" w:cs="Calibri"/>
          <w:lang w:val="en-US"/>
        </w:rPr>
      </w:pPr>
      <w:r w:rsidRPr="00664FD3">
        <w:rPr>
          <w:rFonts w:ascii="Calibri" w:hAnsi="Calibri" w:cs="Calibri"/>
          <w:lang w:val="en-US"/>
        </w:rPr>
        <w:t xml:space="preserve">In the literature reviewed so far, environmental research on the Rohingya camps in Cox’s Bazar is mainly biophysical. In contrast, discourse research on refugees has mostly focused on press coverage. Therefore, how humanitarian institutions and Rohingya speakers construct environmental vulnerability in language has not been examined. This gap is important because humanitarian language gives agency, assigns responsibility, and justifies intervention. This paper presents the review protocol and analytical design for an </w:t>
      </w:r>
      <w:proofErr w:type="spellStart"/>
      <w:r w:rsidRPr="00664FD3">
        <w:rPr>
          <w:rFonts w:ascii="Calibri" w:hAnsi="Calibri" w:cs="Calibri"/>
          <w:lang w:val="en-US"/>
        </w:rPr>
        <w:t>ecolinguistic</w:t>
      </w:r>
      <w:proofErr w:type="spellEnd"/>
      <w:r w:rsidRPr="00664FD3">
        <w:rPr>
          <w:rFonts w:ascii="Calibri" w:hAnsi="Calibri" w:cs="Calibri"/>
          <w:lang w:val="en-US"/>
        </w:rPr>
        <w:t xml:space="preserve"> study. The study compares institutional texts with community narratives along Stibbe’s beneficial–ambivalent–destructive continuum, with support from corpus-assisted critical discourse analysis. It specifies inclusion and exclusion criteria, a dual-screener protocol reported against PRISMA 2020, a multi-database search of English and Bangla sources published from 2000 to 2026, and a four-stage synthesis procedure. A preliminary mapping of the literature shows a strong biophysical evidence base and a mature </w:t>
      </w:r>
      <w:proofErr w:type="spellStart"/>
      <w:r w:rsidRPr="00664FD3">
        <w:rPr>
          <w:rFonts w:ascii="Calibri" w:hAnsi="Calibri" w:cs="Calibri"/>
          <w:lang w:val="en-US"/>
        </w:rPr>
        <w:t>ecolinguistic</w:t>
      </w:r>
      <w:proofErr w:type="spellEnd"/>
      <w:r w:rsidRPr="00664FD3">
        <w:rPr>
          <w:rFonts w:ascii="Calibri" w:hAnsi="Calibri" w:cs="Calibri"/>
          <w:lang w:val="en-US"/>
        </w:rPr>
        <w:t xml:space="preserve"> toolkit. However, no study identified so far applies an </w:t>
      </w:r>
      <w:proofErr w:type="spellStart"/>
      <w:r w:rsidRPr="00664FD3">
        <w:rPr>
          <w:rFonts w:ascii="Calibri" w:hAnsi="Calibri" w:cs="Calibri"/>
          <w:lang w:val="en-US"/>
        </w:rPr>
        <w:t>ecolinguistic</w:t>
      </w:r>
      <w:proofErr w:type="spellEnd"/>
      <w:r w:rsidRPr="00664FD3">
        <w:rPr>
          <w:rFonts w:ascii="Calibri" w:hAnsi="Calibri" w:cs="Calibri"/>
          <w:lang w:val="en-US"/>
        </w:rPr>
        <w:t xml:space="preserve"> evaluative framework to this population, and Rohingya ecological vocabulary and metaphor are largely absent from published linguistic analysis. The design aims to provide recommendations for environmentally just humanitarian communication and eco-critical pedagogy.</w:t>
      </w:r>
    </w:p>
    <w:p w14:paraId="24F3CF39" w14:textId="77777777" w:rsidR="00EC2DC1" w:rsidRPr="00664FD3" w:rsidRDefault="00EC2DC1" w:rsidP="00564872">
      <w:pPr>
        <w:rPr>
          <w:rFonts w:ascii="Calibri" w:hAnsi="Calibri" w:cs="Calibri"/>
        </w:rPr>
      </w:pPr>
    </w:p>
    <w:p w14:paraId="0885F026" w14:textId="77777777" w:rsidR="006D018F" w:rsidRPr="00664FD3" w:rsidRDefault="00000000" w:rsidP="00564872">
      <w:pPr>
        <w:jc w:val="both"/>
        <w:rPr>
          <w:rFonts w:ascii="Calibri" w:hAnsi="Calibri" w:cs="Calibri"/>
        </w:rPr>
      </w:pPr>
      <w:r w:rsidRPr="00664FD3">
        <w:rPr>
          <w:rFonts w:ascii="Calibri" w:hAnsi="Calibri" w:cs="Calibri"/>
          <w:b/>
          <w:bCs/>
        </w:rPr>
        <w:t>Keywords:</w:t>
      </w:r>
      <w:r w:rsidRPr="00664FD3">
        <w:rPr>
          <w:rFonts w:ascii="Calibri" w:hAnsi="Calibri" w:cs="Calibri"/>
        </w:rPr>
        <w:t xml:space="preserve"> Ecolinguistics; Rohingya refugees; Environmental vulnerability; Critical discourse analysis; Humanitarian communication</w:t>
      </w:r>
    </w:p>
    <w:p w14:paraId="12A0CBCD" w14:textId="77777777" w:rsidR="00EC2DC1" w:rsidRPr="00664FD3" w:rsidRDefault="00EC2DC1" w:rsidP="00564872">
      <w:pPr>
        <w:rPr>
          <w:rFonts w:ascii="Calibri" w:hAnsi="Calibri" w:cs="Calibri"/>
        </w:rPr>
      </w:pPr>
    </w:p>
    <w:p w14:paraId="155AA77E" w14:textId="77777777" w:rsidR="006D018F" w:rsidRPr="00664FD3" w:rsidRDefault="00000000" w:rsidP="00564872">
      <w:pPr>
        <w:rPr>
          <w:rFonts w:ascii="Calibri" w:hAnsi="Calibri" w:cs="Calibri"/>
          <w:b/>
          <w:bCs/>
        </w:rPr>
      </w:pPr>
      <w:r w:rsidRPr="00664FD3">
        <w:rPr>
          <w:rFonts w:ascii="Calibri" w:hAnsi="Calibri" w:cs="Calibri"/>
          <w:b/>
          <w:bCs/>
        </w:rPr>
        <w:t>Introduction</w:t>
      </w:r>
    </w:p>
    <w:p w14:paraId="3A083AA5" w14:textId="77777777" w:rsidR="00EC2DC1" w:rsidRPr="00664FD3" w:rsidRDefault="00EC2DC1" w:rsidP="00564872">
      <w:pPr>
        <w:rPr>
          <w:rFonts w:ascii="Calibri" w:hAnsi="Calibri" w:cs="Calibri"/>
        </w:rPr>
      </w:pPr>
    </w:p>
    <w:p w14:paraId="51D83D67" w14:textId="77777777" w:rsidR="006D018F" w:rsidRPr="00664FD3" w:rsidRDefault="00000000" w:rsidP="00564872">
      <w:pPr>
        <w:jc w:val="both"/>
        <w:rPr>
          <w:rFonts w:ascii="Calibri" w:hAnsi="Calibri" w:cs="Calibri"/>
        </w:rPr>
      </w:pPr>
      <w:r w:rsidRPr="00664FD3">
        <w:rPr>
          <w:rFonts w:ascii="Calibri" w:hAnsi="Calibri" w:cs="Calibri"/>
        </w:rPr>
        <w:t>UNHCR describes Bangladesh as hosting close to one million Rohingya refugees from Myanmar, one of the largest protracted refugee situations in the world, with refugees hosted in 33 highly congested camps in Cox’s Bazar District [1]. The settlement is also an environmental crisis. Remote-sensing research has quantified the expansion of the camps after August 2017 and the resulting loss of forest cover [2]. Ahmed et al. estimate that approximately 5,800 hectares of forest cover disappeared as a result of the 2017 influx, and attribute slope failures in the district predominantly to hill cutting, slope modification, and unplanned urbanisation, leaving camps built on hills and loose soil highly vulnerable to rainfall-triggered landslides [3]. That figure is reported here as the estimate of the cited study, since such estimates depend on method, study area, and time window.</w:t>
      </w:r>
    </w:p>
    <w:p w14:paraId="72F971B3" w14:textId="77777777" w:rsidR="00EC2DC1" w:rsidRPr="00664FD3" w:rsidRDefault="00EC2DC1" w:rsidP="00564872">
      <w:pPr>
        <w:rPr>
          <w:rFonts w:ascii="Calibri" w:hAnsi="Calibri" w:cs="Calibri"/>
        </w:rPr>
      </w:pPr>
    </w:p>
    <w:p w14:paraId="49F70E40" w14:textId="77777777" w:rsidR="00070AAB" w:rsidRPr="00664FD3" w:rsidRDefault="00070AAB" w:rsidP="00070AAB">
      <w:pPr>
        <w:spacing w:after="120"/>
        <w:jc w:val="both"/>
        <w:rPr>
          <w:rFonts w:ascii="Calibri" w:hAnsi="Calibri" w:cs="Calibri"/>
          <w:lang w:val="en-US"/>
        </w:rPr>
      </w:pPr>
      <w:r w:rsidRPr="00664FD3">
        <w:rPr>
          <w:rFonts w:ascii="Calibri" w:hAnsi="Calibri" w:cs="Calibri"/>
          <w:lang w:val="en-US"/>
        </w:rPr>
        <w:t xml:space="preserve">The way this situation is put into language is not neutral. Institutional reports, policy documents, and community narratives each construct “vulnerability” in different ways, and these constructions shape who is positioned as a victim, a cause, or an agent of environmental change. The problem this paper addresses </w:t>
      </w:r>
      <w:proofErr w:type="gramStart"/>
      <w:r w:rsidRPr="00664FD3">
        <w:rPr>
          <w:rFonts w:ascii="Calibri" w:hAnsi="Calibri" w:cs="Calibri"/>
          <w:lang w:val="en-US"/>
        </w:rPr>
        <w:t>is</w:t>
      </w:r>
      <w:proofErr w:type="gramEnd"/>
      <w:r w:rsidRPr="00664FD3">
        <w:rPr>
          <w:rFonts w:ascii="Calibri" w:hAnsi="Calibri" w:cs="Calibri"/>
          <w:lang w:val="en-US"/>
        </w:rPr>
        <w:t xml:space="preserve"> that the crisis has been measured but not read: in the literature mapped so far, environmental research on Cox’s Bazar examines land cover and landslide hazard without examining </w:t>
      </w:r>
      <w:r w:rsidRPr="00664FD3">
        <w:rPr>
          <w:rFonts w:ascii="Calibri" w:hAnsi="Calibri" w:cs="Calibri"/>
          <w:lang w:val="en-US"/>
        </w:rPr>
        <w:lastRenderedPageBreak/>
        <w:t>how the crisis is narrated. Neither environmental research nor discourse research asks how Rohingya speakers construct their own ecological world in language, or whether institutional accounts of their vulnerability match these constructions. This mismatch is not a secondary issue, because humanitarian language allocates agency, assigns responsibility, and justifies intervention.</w:t>
      </w:r>
    </w:p>
    <w:p w14:paraId="115A8748" w14:textId="77777777" w:rsidR="006D018F" w:rsidRPr="00664FD3" w:rsidRDefault="00000000" w:rsidP="00564872">
      <w:pPr>
        <w:spacing w:after="120"/>
        <w:jc w:val="both"/>
        <w:rPr>
          <w:rFonts w:ascii="Calibri" w:hAnsi="Calibri" w:cs="Calibri"/>
        </w:rPr>
      </w:pPr>
      <w:r w:rsidRPr="00664FD3">
        <w:rPr>
          <w:rFonts w:ascii="Calibri" w:hAnsi="Calibri" w:cs="Calibri"/>
        </w:rPr>
        <w:t xml:space="preserve">Ecolinguistics provides the instrument for examining this problem. Stibbe’s framework evaluates the stories a discourse </w:t>
      </w:r>
      <w:proofErr w:type="gramStart"/>
      <w:r w:rsidRPr="00664FD3">
        <w:rPr>
          <w:rFonts w:ascii="Calibri" w:hAnsi="Calibri" w:cs="Calibri"/>
        </w:rPr>
        <w:t>tells</w:t>
      </w:r>
      <w:proofErr w:type="gramEnd"/>
      <w:r w:rsidRPr="00664FD3">
        <w:rPr>
          <w:rFonts w:ascii="Calibri" w:hAnsi="Calibri" w:cs="Calibri"/>
        </w:rPr>
        <w:t xml:space="preserve"> about the human–nature relationship along a beneficial–ambivalent–destructive continuum [4]. The present study is a discourse study, not an impact study: the environmental facts establish that there is something to talk about, and the object of analysis is the talk itself.</w:t>
      </w:r>
    </w:p>
    <w:p w14:paraId="59049538" w14:textId="77777777" w:rsidR="006D018F" w:rsidRPr="00664FD3" w:rsidRDefault="00000000" w:rsidP="00564872">
      <w:pPr>
        <w:spacing w:after="120"/>
        <w:jc w:val="both"/>
        <w:rPr>
          <w:rFonts w:ascii="Calibri" w:hAnsi="Calibri" w:cs="Calibri"/>
        </w:rPr>
      </w:pPr>
      <w:r w:rsidRPr="00664FD3">
        <w:rPr>
          <w:rFonts w:ascii="Calibri" w:hAnsi="Calibri" w:cs="Calibri"/>
        </w:rPr>
        <w:t>The central research question is: how is environmental vulnerability discursively constructed in institutional and community discourses concerning Rohingya refugees in Cox’s Bazar, and what do the differences between them reveal? Four objectives follow sequentially, each supplying the input for the next: (1) to analyse how environmental vulnerability is constructed in institutional representations of Rohingya refugees; (2) to examine how community members linguistically articulate their own ecological experience and relationships; (3) to evaluate and compare both corpora on the beneficial–ambivalent–destructive continuum [4]; and (4) to derive recommendations for environmentally just humanitarian communication and eco-critical pedagogy.</w:t>
      </w:r>
    </w:p>
    <w:p w14:paraId="1FDD6ACD" w14:textId="77777777" w:rsidR="006D018F" w:rsidRPr="00664FD3" w:rsidRDefault="00000000" w:rsidP="00564872">
      <w:pPr>
        <w:spacing w:before="200" w:after="40"/>
        <w:jc w:val="both"/>
        <w:rPr>
          <w:rFonts w:ascii="Calibri" w:hAnsi="Calibri" w:cs="Calibri"/>
        </w:rPr>
      </w:pPr>
      <w:r w:rsidRPr="00664FD3">
        <w:rPr>
          <w:rFonts w:ascii="Calibri" w:hAnsi="Calibri" w:cs="Calibri"/>
          <w:b/>
          <w:bCs/>
        </w:rPr>
        <w:t>Related work</w:t>
      </w:r>
    </w:p>
    <w:p w14:paraId="0C56EBB4" w14:textId="77777777" w:rsidR="006D018F" w:rsidRPr="00664FD3" w:rsidRDefault="00000000" w:rsidP="00564872">
      <w:pPr>
        <w:spacing w:after="120"/>
        <w:jc w:val="both"/>
        <w:rPr>
          <w:rFonts w:ascii="Calibri" w:hAnsi="Calibri" w:cs="Calibri"/>
        </w:rPr>
      </w:pPr>
      <w:r w:rsidRPr="00664FD3">
        <w:rPr>
          <w:rFonts w:ascii="Calibri" w:hAnsi="Calibri" w:cs="Calibri"/>
        </w:rPr>
        <w:t xml:space="preserve">Fill and </w:t>
      </w:r>
      <w:proofErr w:type="spellStart"/>
      <w:r w:rsidRPr="00664FD3">
        <w:rPr>
          <w:rFonts w:ascii="Calibri" w:hAnsi="Calibri" w:cs="Calibri"/>
        </w:rPr>
        <w:t>Mühlhäusler’s</w:t>
      </w:r>
      <w:proofErr w:type="spellEnd"/>
      <w:r w:rsidRPr="00664FD3">
        <w:rPr>
          <w:rFonts w:ascii="Calibri" w:hAnsi="Calibri" w:cs="Calibri"/>
        </w:rPr>
        <w:t xml:space="preserve"> reader brings together key articles from the different strands of ecolinguistics, a field it traces to Haugen’s combination of language and ecology [5]. Alexander and Stibbe subsequently argued that ecolinguistics is more than the analysis of texts that happen to be explicitly about the environment, and is primarily the ecological analysis of discourse [6]. Stibbe set out an </w:t>
      </w:r>
      <w:proofErr w:type="spellStart"/>
      <w:r w:rsidRPr="00664FD3">
        <w:rPr>
          <w:rFonts w:ascii="Calibri" w:hAnsi="Calibri" w:cs="Calibri"/>
        </w:rPr>
        <w:t>ecolinguistic</w:t>
      </w:r>
      <w:proofErr w:type="spellEnd"/>
      <w:r w:rsidRPr="00664FD3">
        <w:rPr>
          <w:rFonts w:ascii="Calibri" w:hAnsi="Calibri" w:cs="Calibri"/>
        </w:rPr>
        <w:t xml:space="preserve"> approach to critical discourse studies [7] and then the stories-we-live-by framework, which supplies explicit analytical categories, including framing, metaphor, salience, and erasure, and evaluates discourses as beneficial, ambivalent, or destructive [4].</w:t>
      </w:r>
    </w:p>
    <w:p w14:paraId="7D9D18D3" w14:textId="77777777" w:rsidR="006D018F" w:rsidRPr="00664FD3" w:rsidRDefault="00000000" w:rsidP="00564872">
      <w:pPr>
        <w:spacing w:after="120"/>
        <w:jc w:val="both"/>
        <w:rPr>
          <w:rFonts w:ascii="Calibri" w:hAnsi="Calibri" w:cs="Calibri"/>
        </w:rPr>
      </w:pPr>
      <w:r w:rsidRPr="00664FD3">
        <w:rPr>
          <w:rFonts w:ascii="Calibri" w:hAnsi="Calibri" w:cs="Calibri"/>
        </w:rPr>
        <w:t>A second line of work is Critical Discourse Analysis, which relates the analysis of language to social structure and change, and in particular to relations of power and ideology [8], [9]. Baker et al. showed how corpus methods such as collocation and concordance analysis can be combined with CDA, using a 140-million-word corpus of British news articles about refugees, asylum seekers, immigrants, and migrants [10]. Environmental research on Cox’s Bazar, by contrast, has quantified forest cover change [2], [3] and modelled landslide hazard [3], but it does not examine representation. Table 1 compares the present study with the most closely related work on four parameters.</w:t>
      </w:r>
    </w:p>
    <w:p w14:paraId="0ECE5EF3" w14:textId="77777777" w:rsidR="006D018F" w:rsidRPr="00664FD3" w:rsidRDefault="00000000" w:rsidP="00564872">
      <w:pPr>
        <w:spacing w:before="120" w:after="60"/>
        <w:jc w:val="both"/>
        <w:rPr>
          <w:rFonts w:ascii="Calibri" w:hAnsi="Calibri" w:cs="Calibri"/>
        </w:rPr>
      </w:pPr>
      <w:r w:rsidRPr="00664FD3">
        <w:rPr>
          <w:rFonts w:ascii="Calibri" w:hAnsi="Calibri" w:cs="Calibri"/>
          <w:i/>
          <w:iCs/>
          <w:sz w:val="20"/>
          <w:szCs w:val="20"/>
        </w:rPr>
        <w:t>Table 1. Comparison of this work with related work</w:t>
      </w:r>
    </w:p>
    <w:tbl>
      <w:tblPr>
        <w:tblStyle w:val="a"/>
        <w:tblW w:w="9025" w:type="dxa"/>
        <w:tblInd w:w="0" w:type="dxa"/>
        <w:tblLayout w:type="fixed"/>
        <w:tblLook w:val="0400" w:firstRow="0" w:lastRow="0" w:firstColumn="0" w:lastColumn="0" w:noHBand="0" w:noVBand="1"/>
      </w:tblPr>
      <w:tblGrid>
        <w:gridCol w:w="1425"/>
        <w:gridCol w:w="1900"/>
        <w:gridCol w:w="1900"/>
        <w:gridCol w:w="1900"/>
        <w:gridCol w:w="1900"/>
      </w:tblGrid>
      <w:tr w:rsidR="006D018F" w:rsidRPr="00664FD3" w14:paraId="1D79D2B0"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D5357" w14:textId="77777777" w:rsidR="006D018F" w:rsidRPr="00664FD3" w:rsidRDefault="006D018F" w:rsidP="00564872">
            <w:pPr>
              <w:rPr>
                <w:rFonts w:ascii="Calibri" w:hAnsi="Calibri" w:cs="Calibri"/>
              </w:rPr>
            </w:pP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12F9E2" w14:textId="77777777" w:rsidR="006D018F" w:rsidRPr="00664FD3" w:rsidRDefault="00000000" w:rsidP="00564872">
            <w:pPr>
              <w:rPr>
                <w:rFonts w:ascii="Calibri" w:hAnsi="Calibri" w:cs="Calibri"/>
              </w:rPr>
            </w:pPr>
            <w:proofErr w:type="spellStart"/>
            <w:r w:rsidRPr="00664FD3">
              <w:rPr>
                <w:rFonts w:ascii="Calibri" w:hAnsi="Calibri" w:cs="Calibri"/>
                <w:b/>
                <w:bCs/>
                <w:sz w:val="20"/>
                <w:szCs w:val="20"/>
              </w:rPr>
              <w:t>Ecolinguistic</w:t>
            </w:r>
            <w:proofErr w:type="spellEnd"/>
            <w:r w:rsidRPr="00664FD3">
              <w:rPr>
                <w:rFonts w:ascii="Calibri" w:hAnsi="Calibri" w:cs="Calibri"/>
                <w:b/>
                <w:bCs/>
                <w:sz w:val="20"/>
                <w:szCs w:val="20"/>
              </w:rPr>
              <w:t xml:space="preserve"> framework</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0945AC" w14:textId="77777777" w:rsidR="006D018F" w:rsidRPr="00664FD3" w:rsidRDefault="00000000" w:rsidP="00564872">
            <w:pPr>
              <w:rPr>
                <w:rFonts w:ascii="Calibri" w:hAnsi="Calibri" w:cs="Calibri"/>
              </w:rPr>
            </w:pPr>
            <w:r w:rsidRPr="00664FD3">
              <w:rPr>
                <w:rFonts w:ascii="Calibri" w:hAnsi="Calibri" w:cs="Calibri"/>
                <w:b/>
                <w:bCs/>
                <w:sz w:val="20"/>
                <w:szCs w:val="20"/>
              </w:rPr>
              <w:t>Refugee / displacement discourse</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C2808B" w14:textId="77777777" w:rsidR="006D018F" w:rsidRPr="00664FD3" w:rsidRDefault="00000000" w:rsidP="00564872">
            <w:pPr>
              <w:rPr>
                <w:rFonts w:ascii="Calibri" w:hAnsi="Calibri" w:cs="Calibri"/>
              </w:rPr>
            </w:pPr>
            <w:r w:rsidRPr="00664FD3">
              <w:rPr>
                <w:rFonts w:ascii="Calibri" w:hAnsi="Calibri" w:cs="Calibri"/>
                <w:b/>
                <w:bCs/>
                <w:sz w:val="20"/>
                <w:szCs w:val="20"/>
              </w:rPr>
              <w:t>Humanitarian institutional texts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CA4304" w14:textId="77777777" w:rsidR="006D018F" w:rsidRPr="00664FD3" w:rsidRDefault="00000000" w:rsidP="00564872">
            <w:pPr>
              <w:rPr>
                <w:rFonts w:ascii="Calibri" w:hAnsi="Calibri" w:cs="Calibri"/>
              </w:rPr>
            </w:pPr>
            <w:r w:rsidRPr="00664FD3">
              <w:rPr>
                <w:rFonts w:ascii="Calibri" w:hAnsi="Calibri" w:cs="Calibri"/>
                <w:b/>
                <w:bCs/>
                <w:sz w:val="20"/>
                <w:szCs w:val="20"/>
              </w:rPr>
              <w:t>Rohingya community narratives</w:t>
            </w:r>
          </w:p>
        </w:tc>
      </w:tr>
      <w:tr w:rsidR="006D018F" w:rsidRPr="00664FD3" w14:paraId="371FCADF"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94626E" w14:textId="77777777" w:rsidR="006D018F" w:rsidRPr="00664FD3" w:rsidRDefault="00000000" w:rsidP="00564872">
            <w:pPr>
              <w:rPr>
                <w:rFonts w:ascii="Calibri" w:hAnsi="Calibri" w:cs="Calibri"/>
              </w:rPr>
            </w:pPr>
            <w:r w:rsidRPr="00664FD3">
              <w:rPr>
                <w:rFonts w:ascii="Calibri" w:hAnsi="Calibri" w:cs="Calibri"/>
                <w:b/>
                <w:bCs/>
                <w:sz w:val="20"/>
                <w:szCs w:val="20"/>
              </w:rPr>
              <w:t>[4]</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11485"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CDDC6"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64DC42"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6295F6" w14:textId="77777777" w:rsidR="006D018F" w:rsidRPr="00664FD3" w:rsidRDefault="00000000" w:rsidP="00564872">
            <w:pPr>
              <w:rPr>
                <w:rFonts w:ascii="Calibri" w:hAnsi="Calibri" w:cs="Calibri"/>
              </w:rPr>
            </w:pPr>
            <w:r w:rsidRPr="00664FD3">
              <w:rPr>
                <w:rFonts w:ascii="Calibri" w:hAnsi="Calibri" w:cs="Calibri"/>
                <w:sz w:val="20"/>
                <w:szCs w:val="20"/>
              </w:rPr>
              <w:t>No</w:t>
            </w:r>
          </w:p>
        </w:tc>
      </w:tr>
      <w:tr w:rsidR="006D018F" w:rsidRPr="00664FD3" w14:paraId="68B599ED"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B691F2" w14:textId="77777777" w:rsidR="006D018F" w:rsidRPr="00664FD3" w:rsidRDefault="00000000" w:rsidP="00564872">
            <w:pPr>
              <w:rPr>
                <w:rFonts w:ascii="Calibri" w:hAnsi="Calibri" w:cs="Calibri"/>
              </w:rPr>
            </w:pPr>
            <w:r w:rsidRPr="00664FD3">
              <w:rPr>
                <w:rFonts w:ascii="Calibri" w:hAnsi="Calibri" w:cs="Calibri"/>
                <w:b/>
                <w:bCs/>
                <w:sz w:val="20"/>
                <w:szCs w:val="20"/>
              </w:rPr>
              <w:t>[5]</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9CEF3"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55188B"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9B6549"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984B9" w14:textId="77777777" w:rsidR="006D018F" w:rsidRPr="00664FD3" w:rsidRDefault="00000000" w:rsidP="00564872">
            <w:pPr>
              <w:rPr>
                <w:rFonts w:ascii="Calibri" w:hAnsi="Calibri" w:cs="Calibri"/>
              </w:rPr>
            </w:pPr>
            <w:r w:rsidRPr="00664FD3">
              <w:rPr>
                <w:rFonts w:ascii="Calibri" w:hAnsi="Calibri" w:cs="Calibri"/>
                <w:sz w:val="20"/>
                <w:szCs w:val="20"/>
              </w:rPr>
              <w:t>No</w:t>
            </w:r>
          </w:p>
        </w:tc>
      </w:tr>
      <w:tr w:rsidR="006D018F" w:rsidRPr="00664FD3" w14:paraId="44F01F57"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DF0872" w14:textId="77777777" w:rsidR="006D018F" w:rsidRPr="00664FD3" w:rsidRDefault="00000000" w:rsidP="00564872">
            <w:pPr>
              <w:rPr>
                <w:rFonts w:ascii="Calibri" w:hAnsi="Calibri" w:cs="Calibri"/>
              </w:rPr>
            </w:pPr>
            <w:r w:rsidRPr="00664FD3">
              <w:rPr>
                <w:rFonts w:ascii="Calibri" w:hAnsi="Calibri" w:cs="Calibri"/>
                <w:b/>
                <w:bCs/>
                <w:sz w:val="20"/>
                <w:szCs w:val="20"/>
              </w:rPr>
              <w:t>[6]</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3ADBF"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3D31EE"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1647C"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68A78A" w14:textId="77777777" w:rsidR="006D018F" w:rsidRPr="00664FD3" w:rsidRDefault="00000000" w:rsidP="00564872">
            <w:pPr>
              <w:rPr>
                <w:rFonts w:ascii="Calibri" w:hAnsi="Calibri" w:cs="Calibri"/>
              </w:rPr>
            </w:pPr>
            <w:r w:rsidRPr="00664FD3">
              <w:rPr>
                <w:rFonts w:ascii="Calibri" w:hAnsi="Calibri" w:cs="Calibri"/>
                <w:sz w:val="20"/>
                <w:szCs w:val="20"/>
              </w:rPr>
              <w:t>No</w:t>
            </w:r>
          </w:p>
        </w:tc>
      </w:tr>
      <w:tr w:rsidR="006D018F" w:rsidRPr="00664FD3" w14:paraId="00D2AA19"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F2E03" w14:textId="77777777" w:rsidR="006D018F" w:rsidRPr="00664FD3" w:rsidRDefault="00000000" w:rsidP="00564872">
            <w:pPr>
              <w:rPr>
                <w:rFonts w:ascii="Calibri" w:hAnsi="Calibri" w:cs="Calibri"/>
              </w:rPr>
            </w:pPr>
            <w:r w:rsidRPr="00664FD3">
              <w:rPr>
                <w:rFonts w:ascii="Calibri" w:hAnsi="Calibri" w:cs="Calibri"/>
                <w:b/>
                <w:bCs/>
                <w:sz w:val="20"/>
                <w:szCs w:val="20"/>
              </w:rPr>
              <w:t>[7]</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C50806"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D1AD57"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F3B04E"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BF8809" w14:textId="77777777" w:rsidR="006D018F" w:rsidRPr="00664FD3" w:rsidRDefault="00000000" w:rsidP="00564872">
            <w:pPr>
              <w:rPr>
                <w:rFonts w:ascii="Calibri" w:hAnsi="Calibri" w:cs="Calibri"/>
              </w:rPr>
            </w:pPr>
            <w:r w:rsidRPr="00664FD3">
              <w:rPr>
                <w:rFonts w:ascii="Calibri" w:hAnsi="Calibri" w:cs="Calibri"/>
                <w:sz w:val="20"/>
                <w:szCs w:val="20"/>
              </w:rPr>
              <w:t>No</w:t>
            </w:r>
          </w:p>
        </w:tc>
      </w:tr>
      <w:tr w:rsidR="006D018F" w:rsidRPr="00664FD3" w14:paraId="6F4BEF0C"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D438FB" w14:textId="77777777" w:rsidR="006D018F" w:rsidRPr="00664FD3" w:rsidRDefault="00000000" w:rsidP="00564872">
            <w:pPr>
              <w:rPr>
                <w:rFonts w:ascii="Calibri" w:hAnsi="Calibri" w:cs="Calibri"/>
              </w:rPr>
            </w:pPr>
            <w:r w:rsidRPr="00664FD3">
              <w:rPr>
                <w:rFonts w:ascii="Calibri" w:hAnsi="Calibri" w:cs="Calibri"/>
                <w:b/>
                <w:bCs/>
                <w:sz w:val="20"/>
                <w:szCs w:val="20"/>
              </w:rPr>
              <w:lastRenderedPageBreak/>
              <w:t>[10]</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ABBFD"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2AD734"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8EB278" w14:textId="77777777" w:rsidR="006D018F" w:rsidRPr="00664FD3" w:rsidRDefault="00000000" w:rsidP="00564872">
            <w:pPr>
              <w:rPr>
                <w:rFonts w:ascii="Calibri" w:hAnsi="Calibri" w:cs="Calibri"/>
              </w:rPr>
            </w:pPr>
            <w:r w:rsidRPr="00664FD3">
              <w:rPr>
                <w:rFonts w:ascii="Calibri" w:hAnsi="Calibri" w:cs="Calibri"/>
                <w:sz w:val="20"/>
                <w:szCs w:val="20"/>
              </w:rPr>
              <w:t>No</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617180" w14:textId="77777777" w:rsidR="006D018F" w:rsidRPr="00664FD3" w:rsidRDefault="00000000" w:rsidP="00564872">
            <w:pPr>
              <w:rPr>
                <w:rFonts w:ascii="Calibri" w:hAnsi="Calibri" w:cs="Calibri"/>
              </w:rPr>
            </w:pPr>
            <w:r w:rsidRPr="00664FD3">
              <w:rPr>
                <w:rFonts w:ascii="Calibri" w:hAnsi="Calibri" w:cs="Calibri"/>
                <w:sz w:val="20"/>
                <w:szCs w:val="20"/>
              </w:rPr>
              <w:t>No</w:t>
            </w:r>
          </w:p>
        </w:tc>
      </w:tr>
      <w:tr w:rsidR="006D018F" w:rsidRPr="00664FD3" w14:paraId="0A418519" w14:textId="77777777">
        <w:tc>
          <w:tcPr>
            <w:tcW w:w="1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1E9E5D" w14:textId="77777777" w:rsidR="006D018F" w:rsidRPr="00664FD3" w:rsidRDefault="00000000" w:rsidP="00564872">
            <w:pPr>
              <w:rPr>
                <w:rFonts w:ascii="Calibri" w:hAnsi="Calibri" w:cs="Calibri"/>
              </w:rPr>
            </w:pPr>
            <w:r w:rsidRPr="00664FD3">
              <w:rPr>
                <w:rFonts w:ascii="Calibri" w:hAnsi="Calibri" w:cs="Calibri"/>
                <w:b/>
                <w:bCs/>
                <w:sz w:val="20"/>
                <w:szCs w:val="20"/>
              </w:rPr>
              <w:t>This work</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E420E"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28FEFC"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CAD29B" w14:textId="77777777" w:rsidR="006D018F" w:rsidRPr="00664FD3" w:rsidRDefault="00000000" w:rsidP="00564872">
            <w:pPr>
              <w:rPr>
                <w:rFonts w:ascii="Calibri" w:hAnsi="Calibri" w:cs="Calibri"/>
              </w:rPr>
            </w:pPr>
            <w:r w:rsidRPr="00664FD3">
              <w:rPr>
                <w:rFonts w:ascii="Calibri" w:hAnsi="Calibri" w:cs="Calibri"/>
                <w:sz w:val="20"/>
                <w:szCs w:val="20"/>
              </w:rPr>
              <w:t>Yes</w:t>
            </w:r>
          </w:p>
        </w:tc>
        <w:tc>
          <w:tcPr>
            <w:tcW w:w="19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E3B9B" w14:textId="77777777" w:rsidR="006D018F" w:rsidRPr="00664FD3" w:rsidRDefault="00000000" w:rsidP="00564872">
            <w:pPr>
              <w:rPr>
                <w:rFonts w:ascii="Calibri" w:hAnsi="Calibri" w:cs="Calibri"/>
              </w:rPr>
            </w:pPr>
            <w:r w:rsidRPr="00664FD3">
              <w:rPr>
                <w:rFonts w:ascii="Calibri" w:hAnsi="Calibri" w:cs="Calibri"/>
                <w:sz w:val="20"/>
                <w:szCs w:val="20"/>
              </w:rPr>
              <w:t>Yes</w:t>
            </w:r>
          </w:p>
        </w:tc>
      </w:tr>
    </w:tbl>
    <w:p w14:paraId="0E9BD71E" w14:textId="77777777" w:rsidR="006D018F" w:rsidRPr="00664FD3" w:rsidRDefault="006D018F" w:rsidP="00564872">
      <w:pPr>
        <w:spacing w:after="80"/>
        <w:jc w:val="both"/>
        <w:rPr>
          <w:rFonts w:ascii="Calibri" w:hAnsi="Calibri" w:cs="Calibri"/>
        </w:rPr>
      </w:pPr>
    </w:p>
    <w:p w14:paraId="0B9854DF" w14:textId="77777777" w:rsidR="006D018F" w:rsidRPr="00664FD3" w:rsidRDefault="00000000" w:rsidP="00564872">
      <w:pPr>
        <w:spacing w:after="120"/>
        <w:jc w:val="both"/>
        <w:rPr>
          <w:rFonts w:ascii="Calibri" w:hAnsi="Calibri" w:cs="Calibri"/>
        </w:rPr>
      </w:pPr>
      <w:r w:rsidRPr="00664FD3">
        <w:rPr>
          <w:rFonts w:ascii="Calibri" w:hAnsi="Calibri" w:cs="Calibri"/>
        </w:rPr>
        <w:t xml:space="preserve">The full literature review is organised as a funnel that narrows from field-level theory to the specific gap. Its five sections cover ecolinguistics and the stories-we-live-by framework; CDA and the representation of displaced people; corpus-assisted approaches to discourse analysis; environmental change, vulnerability, and displacement in Cox’s Bazar; and a synthesis naming the </w:t>
      </w:r>
      <w:proofErr w:type="spellStart"/>
      <w:r w:rsidRPr="00664FD3">
        <w:rPr>
          <w:rFonts w:ascii="Calibri" w:hAnsi="Calibri" w:cs="Calibri"/>
        </w:rPr>
        <w:t>ecolinguistic</w:t>
      </w:r>
      <w:proofErr w:type="spellEnd"/>
      <w:r w:rsidRPr="00664FD3">
        <w:rPr>
          <w:rFonts w:ascii="Calibri" w:hAnsi="Calibri" w:cs="Calibri"/>
        </w:rPr>
        <w:t xml:space="preserve"> gap in refugee environmental discourse. Each section supplies a premise the next builds on, so that by the end of the fourth section the components of the gap are already assembled and the fifth names it explicitly.</w:t>
      </w:r>
    </w:p>
    <w:p w14:paraId="6DFCA09D" w14:textId="77777777" w:rsidR="006D018F" w:rsidRPr="00664FD3" w:rsidRDefault="00000000" w:rsidP="00564872">
      <w:pPr>
        <w:spacing w:before="200" w:after="40"/>
        <w:jc w:val="both"/>
        <w:rPr>
          <w:rFonts w:ascii="Calibri" w:hAnsi="Calibri" w:cs="Calibri"/>
        </w:rPr>
      </w:pPr>
      <w:r w:rsidRPr="00664FD3">
        <w:rPr>
          <w:rFonts w:ascii="Calibri" w:hAnsi="Calibri" w:cs="Calibri"/>
          <w:b/>
          <w:bCs/>
        </w:rPr>
        <w:t>Key Contribution</w:t>
      </w:r>
    </w:p>
    <w:p w14:paraId="4204544D" w14:textId="77777777" w:rsidR="00070AAB" w:rsidRPr="00664FD3" w:rsidRDefault="00070AAB" w:rsidP="00070AAB">
      <w:pPr>
        <w:spacing w:before="200" w:after="40"/>
        <w:jc w:val="both"/>
        <w:rPr>
          <w:rFonts w:ascii="Calibri" w:hAnsi="Calibri" w:cs="Calibri"/>
          <w:lang w:val="en-US"/>
        </w:rPr>
      </w:pPr>
      <w:r w:rsidRPr="00664FD3">
        <w:rPr>
          <w:rFonts w:ascii="Calibri" w:hAnsi="Calibri" w:cs="Calibri"/>
          <w:lang w:val="en-US"/>
        </w:rPr>
        <w:t xml:space="preserve">This paper provides a protocol and analytical design that apply an </w:t>
      </w:r>
      <w:proofErr w:type="spellStart"/>
      <w:r w:rsidRPr="00664FD3">
        <w:rPr>
          <w:rFonts w:ascii="Calibri" w:hAnsi="Calibri" w:cs="Calibri"/>
          <w:lang w:val="en-US"/>
        </w:rPr>
        <w:t>ecolinguistic</w:t>
      </w:r>
      <w:proofErr w:type="spellEnd"/>
      <w:r w:rsidRPr="00664FD3">
        <w:rPr>
          <w:rFonts w:ascii="Calibri" w:hAnsi="Calibri" w:cs="Calibri"/>
          <w:lang w:val="en-US"/>
        </w:rPr>
        <w:t xml:space="preserve"> evaluative framework to a population to which, based on the search evidence so far, no such framework has been applied. It contributes to existing knowledge in four ways. First, it extends discourse analysis of refugees beyond press corpora to the humanitarian institutional genre through which the response is planned and reported. Second, it places Rohingya speakers’ own ecological vocabulary and metaphor at the </w:t>
      </w:r>
      <w:proofErr w:type="spellStart"/>
      <w:r w:rsidRPr="00664FD3">
        <w:rPr>
          <w:rFonts w:ascii="Calibri" w:hAnsi="Calibri" w:cs="Calibri"/>
          <w:lang w:val="en-US"/>
        </w:rPr>
        <w:t>centre</w:t>
      </w:r>
      <w:proofErr w:type="spellEnd"/>
      <w:r w:rsidRPr="00664FD3">
        <w:rPr>
          <w:rFonts w:ascii="Calibri" w:hAnsi="Calibri" w:cs="Calibri"/>
          <w:lang w:val="en-US"/>
        </w:rPr>
        <w:t xml:space="preserve"> of analysis, instead of treating the community only as an object of institutional description. Third, it compares institutional and community constructions on a single evaluative continuum, so that mismatches in how agency and responsibility are allocated become visible. Fourth, it reads the existing literature itself through the beneficial–ambivalent–destructive lens. In this way, the review becomes the first stage of the analysis, not only a summary before it.</w:t>
      </w:r>
    </w:p>
    <w:p w14:paraId="3B22DEF9" w14:textId="77777777" w:rsidR="00070AAB" w:rsidRPr="00664FD3" w:rsidRDefault="00070AAB" w:rsidP="00070AAB">
      <w:pPr>
        <w:spacing w:before="200" w:after="40"/>
        <w:jc w:val="both"/>
        <w:rPr>
          <w:rFonts w:ascii="Calibri" w:hAnsi="Calibri" w:cs="Calibri"/>
          <w:lang w:val="en-US"/>
        </w:rPr>
      </w:pPr>
      <w:r w:rsidRPr="00664FD3">
        <w:rPr>
          <w:rFonts w:ascii="Calibri" w:hAnsi="Calibri" w:cs="Calibri"/>
          <w:lang w:val="en-US"/>
        </w:rPr>
        <w:t>The phrase “no study identified to date” is used deliberately. Absence of evidence from a systematic search is a search result, not a proof of absence. This review does not confuse the two.</w:t>
      </w:r>
    </w:p>
    <w:p w14:paraId="51A41AD8" w14:textId="77777777" w:rsidR="006D018F" w:rsidRPr="00664FD3" w:rsidRDefault="00000000" w:rsidP="00564872">
      <w:pPr>
        <w:spacing w:before="200" w:after="40"/>
        <w:jc w:val="both"/>
        <w:rPr>
          <w:rFonts w:ascii="Calibri" w:hAnsi="Calibri" w:cs="Calibri"/>
        </w:rPr>
      </w:pPr>
      <w:r w:rsidRPr="00664FD3">
        <w:rPr>
          <w:rFonts w:ascii="Calibri" w:hAnsi="Calibri" w:cs="Calibri"/>
          <w:b/>
          <w:bCs/>
        </w:rPr>
        <w:t>Method, Experiments and Results</w:t>
      </w:r>
    </w:p>
    <w:p w14:paraId="1FA6A36B" w14:textId="77777777" w:rsidR="006D018F" w:rsidRPr="00664FD3" w:rsidRDefault="00000000" w:rsidP="00564872">
      <w:pPr>
        <w:spacing w:before="120" w:after="40"/>
        <w:jc w:val="both"/>
        <w:rPr>
          <w:rFonts w:ascii="Calibri" w:hAnsi="Calibri" w:cs="Calibri"/>
        </w:rPr>
      </w:pPr>
      <w:r w:rsidRPr="00664FD3">
        <w:rPr>
          <w:rFonts w:ascii="Calibri" w:hAnsi="Calibri" w:cs="Calibri"/>
          <w:b/>
          <w:bCs/>
          <w:i/>
          <w:iCs/>
        </w:rPr>
        <w:t>Inclusion and exclusion criteria</w:t>
      </w:r>
    </w:p>
    <w:p w14:paraId="56D7F645" w14:textId="77777777" w:rsidR="006D018F" w:rsidRPr="00664FD3" w:rsidRDefault="00000000" w:rsidP="00564872">
      <w:pPr>
        <w:spacing w:after="120"/>
        <w:jc w:val="both"/>
        <w:rPr>
          <w:rFonts w:ascii="Calibri" w:hAnsi="Calibri" w:cs="Calibri"/>
        </w:rPr>
      </w:pPr>
      <w:r w:rsidRPr="00664FD3">
        <w:rPr>
          <w:rFonts w:ascii="Calibri" w:hAnsi="Calibri" w:cs="Calibri"/>
        </w:rPr>
        <w:t>Included records are peer-reviewed articles, book chapters, and monographs published 2000–2026 in English or Bangla that apply ecolinguistics, ecological discourse analysis, or CDA to displacement, humanitarian, or environmental text, together with empirical or theoretical work on environmental change in Cox’s Bazar. Excluded are texts that mention “environment” or “refugee” without a discourse-analytic or representational focus; purely biophysical or engineering studies with no linguistic dimension; opinion pieces, editorials, blogs, and unrefereed commentary; studies of other displaced populations that offer no transferable framework; and duplicate records or versions superseded by a later publication.</w:t>
      </w:r>
    </w:p>
    <w:p w14:paraId="360F89F6" w14:textId="77777777" w:rsidR="006D018F" w:rsidRPr="00664FD3" w:rsidRDefault="00000000" w:rsidP="00564872">
      <w:pPr>
        <w:spacing w:after="120"/>
        <w:jc w:val="both"/>
        <w:rPr>
          <w:rFonts w:ascii="Calibri" w:hAnsi="Calibri" w:cs="Calibri"/>
        </w:rPr>
      </w:pPr>
      <w:r w:rsidRPr="00664FD3">
        <w:rPr>
          <w:rFonts w:ascii="Calibri" w:hAnsi="Calibri" w:cs="Calibri"/>
        </w:rPr>
        <w:t>Agency reporting from UNHCR, IOM, RRRC, and ISCG occupies two roles in this design. As review evidence it is excluded, because it is not peer-reviewed. As primary data, it constitutes the institutional corpus itself. The two roles, and the two corpora of institutional texts and community narratives, are kept analytically distinct throughout.</w:t>
      </w:r>
    </w:p>
    <w:p w14:paraId="0D2C747E" w14:textId="77777777" w:rsidR="006D018F" w:rsidRPr="00664FD3" w:rsidRDefault="00000000" w:rsidP="00564872">
      <w:pPr>
        <w:spacing w:before="120" w:after="40"/>
        <w:jc w:val="both"/>
        <w:rPr>
          <w:rFonts w:ascii="Calibri" w:hAnsi="Calibri" w:cs="Calibri"/>
        </w:rPr>
      </w:pPr>
      <w:r w:rsidRPr="00664FD3">
        <w:rPr>
          <w:rFonts w:ascii="Calibri" w:hAnsi="Calibri" w:cs="Calibri"/>
          <w:b/>
          <w:bCs/>
          <w:i/>
          <w:iCs/>
        </w:rPr>
        <w:t>Screening protocol</w:t>
      </w:r>
    </w:p>
    <w:p w14:paraId="7D7DBC3E" w14:textId="77777777" w:rsidR="006D018F" w:rsidRPr="00664FD3" w:rsidRDefault="00000000" w:rsidP="00564872">
      <w:pPr>
        <w:spacing w:after="120"/>
        <w:jc w:val="both"/>
        <w:rPr>
          <w:rFonts w:ascii="Calibri" w:hAnsi="Calibri" w:cs="Calibri"/>
        </w:rPr>
      </w:pPr>
      <w:r w:rsidRPr="00664FD3">
        <w:rPr>
          <w:rFonts w:ascii="Calibri" w:eastAsia="Arial Unicode MS" w:hAnsi="Calibri" w:cs="Calibri"/>
        </w:rPr>
        <w:t xml:space="preserve">Title and abstract screening </w:t>
      </w:r>
      <w:proofErr w:type="gramStart"/>
      <w:r w:rsidRPr="00664FD3">
        <w:rPr>
          <w:rFonts w:ascii="Calibri" w:eastAsia="Arial Unicode MS" w:hAnsi="Calibri" w:cs="Calibri"/>
        </w:rPr>
        <w:t>is</w:t>
      </w:r>
      <w:proofErr w:type="gramEnd"/>
      <w:r w:rsidRPr="00664FD3">
        <w:rPr>
          <w:rFonts w:ascii="Calibri" w:eastAsia="Arial Unicode MS" w:hAnsi="Calibri" w:cs="Calibri"/>
        </w:rPr>
        <w:t xml:space="preserve"> followed by full-text review. Two independent screeners assess each record; disagreements are resolved by discussion, and any unresolved case is referred to a third </w:t>
      </w:r>
      <w:r w:rsidRPr="00664FD3">
        <w:rPr>
          <w:rFonts w:ascii="Calibri" w:eastAsia="Arial Unicode MS" w:hAnsi="Calibri" w:cs="Calibri"/>
        </w:rPr>
        <w:lastRenderedPageBreak/>
        <w:t>reader. Agreement is reported using Cohen’s κ [11], with a target of κ ≥ 0.80. Selection is reported against PRISMA 2020 [12], with the flow diagram and final record counts to be presented at the Second Conference.</w:t>
      </w:r>
    </w:p>
    <w:p w14:paraId="5BAB98BF" w14:textId="77777777" w:rsidR="006D018F" w:rsidRPr="00664FD3" w:rsidRDefault="00000000" w:rsidP="00564872">
      <w:pPr>
        <w:spacing w:before="120" w:after="40"/>
        <w:jc w:val="both"/>
        <w:rPr>
          <w:rFonts w:ascii="Calibri" w:hAnsi="Calibri" w:cs="Calibri"/>
        </w:rPr>
      </w:pPr>
      <w:r w:rsidRPr="00664FD3">
        <w:rPr>
          <w:rFonts w:ascii="Calibri" w:hAnsi="Calibri" w:cs="Calibri"/>
          <w:b/>
          <w:bCs/>
          <w:i/>
          <w:iCs/>
        </w:rPr>
        <w:t>Databases and search strategy</w:t>
      </w:r>
    </w:p>
    <w:p w14:paraId="610FCBE6" w14:textId="77777777" w:rsidR="006D018F" w:rsidRPr="00664FD3" w:rsidRDefault="00000000" w:rsidP="00564872">
      <w:pPr>
        <w:spacing w:after="120"/>
        <w:jc w:val="both"/>
        <w:rPr>
          <w:rFonts w:ascii="Calibri" w:hAnsi="Calibri" w:cs="Calibri"/>
        </w:rPr>
      </w:pPr>
      <w:r w:rsidRPr="00664FD3">
        <w:rPr>
          <w:rFonts w:ascii="Calibri" w:hAnsi="Calibri" w:cs="Calibri"/>
        </w:rPr>
        <w:t>The search covers multidisciplinary, discipline-specific, and open-access and institutional sources, as shown in Table 2.</w:t>
      </w:r>
    </w:p>
    <w:p w14:paraId="360E21B4" w14:textId="77777777" w:rsidR="006D018F" w:rsidRPr="00664FD3" w:rsidRDefault="00000000" w:rsidP="00564872">
      <w:pPr>
        <w:spacing w:before="120" w:after="60"/>
        <w:jc w:val="both"/>
        <w:rPr>
          <w:rFonts w:ascii="Calibri" w:hAnsi="Calibri" w:cs="Calibri"/>
        </w:rPr>
      </w:pPr>
      <w:r w:rsidRPr="00664FD3">
        <w:rPr>
          <w:rFonts w:ascii="Calibri" w:hAnsi="Calibri" w:cs="Calibri"/>
          <w:i/>
          <w:iCs/>
          <w:sz w:val="20"/>
          <w:szCs w:val="20"/>
        </w:rPr>
        <w:t>Table 2. Databases used for the search</w:t>
      </w:r>
    </w:p>
    <w:tbl>
      <w:tblPr>
        <w:tblStyle w:val="a0"/>
        <w:tblW w:w="9025" w:type="dxa"/>
        <w:tblInd w:w="0" w:type="dxa"/>
        <w:tblLayout w:type="fixed"/>
        <w:tblLook w:val="0400" w:firstRow="0" w:lastRow="0" w:firstColumn="0" w:lastColumn="0" w:noHBand="0" w:noVBand="1"/>
      </w:tblPr>
      <w:tblGrid>
        <w:gridCol w:w="3008"/>
        <w:gridCol w:w="3009"/>
        <w:gridCol w:w="3008"/>
      </w:tblGrid>
      <w:tr w:rsidR="006D018F" w:rsidRPr="00664FD3" w14:paraId="1CAAAA65" w14:textId="77777777">
        <w:tc>
          <w:tcPr>
            <w:tcW w:w="30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FC67D" w14:textId="77777777" w:rsidR="006D018F" w:rsidRPr="00664FD3" w:rsidRDefault="00000000" w:rsidP="00564872">
            <w:pPr>
              <w:rPr>
                <w:rFonts w:ascii="Calibri" w:hAnsi="Calibri" w:cs="Calibri"/>
              </w:rPr>
            </w:pPr>
            <w:r w:rsidRPr="00664FD3">
              <w:rPr>
                <w:rFonts w:ascii="Calibri" w:hAnsi="Calibri" w:cs="Calibri"/>
                <w:b/>
                <w:bCs/>
                <w:sz w:val="20"/>
                <w:szCs w:val="20"/>
              </w:rPr>
              <w:t>Multidisciplinary</w:t>
            </w:r>
          </w:p>
        </w:tc>
        <w:tc>
          <w:tcPr>
            <w:tcW w:w="3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DE89EB" w14:textId="77777777" w:rsidR="006D018F" w:rsidRPr="00664FD3" w:rsidRDefault="00000000" w:rsidP="00564872">
            <w:pPr>
              <w:rPr>
                <w:rFonts w:ascii="Calibri" w:hAnsi="Calibri" w:cs="Calibri"/>
              </w:rPr>
            </w:pPr>
            <w:r w:rsidRPr="00664FD3">
              <w:rPr>
                <w:rFonts w:ascii="Calibri" w:hAnsi="Calibri" w:cs="Calibri"/>
                <w:b/>
                <w:bCs/>
                <w:sz w:val="20"/>
                <w:szCs w:val="20"/>
              </w:rPr>
              <w:t>Discipline-specific</w:t>
            </w:r>
          </w:p>
        </w:tc>
        <w:tc>
          <w:tcPr>
            <w:tcW w:w="30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5DD46A" w14:textId="77777777" w:rsidR="006D018F" w:rsidRPr="00664FD3" w:rsidRDefault="00000000" w:rsidP="00564872">
            <w:pPr>
              <w:rPr>
                <w:rFonts w:ascii="Calibri" w:hAnsi="Calibri" w:cs="Calibri"/>
              </w:rPr>
            </w:pPr>
            <w:r w:rsidRPr="00664FD3">
              <w:rPr>
                <w:rFonts w:ascii="Calibri" w:hAnsi="Calibri" w:cs="Calibri"/>
                <w:b/>
                <w:bCs/>
                <w:sz w:val="20"/>
                <w:szCs w:val="20"/>
              </w:rPr>
              <w:t>Open access and institutional</w:t>
            </w:r>
          </w:p>
        </w:tc>
      </w:tr>
      <w:tr w:rsidR="006D018F" w:rsidRPr="00664FD3" w14:paraId="34A8A751" w14:textId="77777777">
        <w:tc>
          <w:tcPr>
            <w:tcW w:w="30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57ADE5" w14:textId="77777777" w:rsidR="006D018F" w:rsidRPr="00664FD3" w:rsidRDefault="00000000" w:rsidP="00564872">
            <w:pPr>
              <w:rPr>
                <w:rFonts w:ascii="Calibri" w:hAnsi="Calibri" w:cs="Calibri"/>
              </w:rPr>
            </w:pPr>
            <w:r w:rsidRPr="00664FD3">
              <w:rPr>
                <w:rFonts w:ascii="Calibri" w:hAnsi="Calibri" w:cs="Calibri"/>
                <w:b/>
                <w:bCs/>
                <w:sz w:val="20"/>
                <w:szCs w:val="20"/>
              </w:rPr>
              <w:t>Scopus; Web of Science; Google Scholar; ProQuest</w:t>
            </w:r>
          </w:p>
        </w:tc>
        <w:tc>
          <w:tcPr>
            <w:tcW w:w="3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B715C9" w14:textId="77777777" w:rsidR="006D018F" w:rsidRPr="00664FD3" w:rsidRDefault="00000000" w:rsidP="00564872">
            <w:pPr>
              <w:rPr>
                <w:rFonts w:ascii="Calibri" w:hAnsi="Calibri" w:cs="Calibri"/>
              </w:rPr>
            </w:pPr>
            <w:r w:rsidRPr="00664FD3">
              <w:rPr>
                <w:rFonts w:ascii="Calibri" w:hAnsi="Calibri" w:cs="Calibri"/>
                <w:sz w:val="20"/>
                <w:szCs w:val="20"/>
              </w:rPr>
              <w:t xml:space="preserve">JSTOR; Project MUSE; Linguistics &amp; Language </w:t>
            </w:r>
            <w:proofErr w:type="spellStart"/>
            <w:r w:rsidRPr="00664FD3">
              <w:rPr>
                <w:rFonts w:ascii="Calibri" w:hAnsi="Calibri" w:cs="Calibri"/>
                <w:sz w:val="20"/>
                <w:szCs w:val="20"/>
              </w:rPr>
              <w:t>Behavior</w:t>
            </w:r>
            <w:proofErr w:type="spellEnd"/>
            <w:r w:rsidRPr="00664FD3">
              <w:rPr>
                <w:rFonts w:ascii="Calibri" w:hAnsi="Calibri" w:cs="Calibri"/>
                <w:sz w:val="20"/>
                <w:szCs w:val="20"/>
              </w:rPr>
              <w:t xml:space="preserve"> Abstracts; ERIC; Taylor &amp; Francis Online; SpringerLink</w:t>
            </w:r>
          </w:p>
        </w:tc>
        <w:tc>
          <w:tcPr>
            <w:tcW w:w="30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CBB9EE" w14:textId="77777777" w:rsidR="006D018F" w:rsidRPr="00664FD3" w:rsidRDefault="00000000" w:rsidP="00564872">
            <w:pPr>
              <w:rPr>
                <w:rFonts w:ascii="Calibri" w:hAnsi="Calibri" w:cs="Calibri"/>
              </w:rPr>
            </w:pPr>
            <w:r w:rsidRPr="00664FD3">
              <w:rPr>
                <w:rFonts w:ascii="Calibri" w:hAnsi="Calibri" w:cs="Calibri"/>
                <w:sz w:val="20"/>
                <w:szCs w:val="20"/>
              </w:rPr>
              <w:t>DOAJ; CORE; UNHCR Operational Data Portal; ReliefWeb</w:t>
            </w:r>
          </w:p>
        </w:tc>
      </w:tr>
    </w:tbl>
    <w:p w14:paraId="4527AFAF" w14:textId="77777777" w:rsidR="006D018F" w:rsidRPr="00664FD3" w:rsidRDefault="006D018F" w:rsidP="00564872">
      <w:pPr>
        <w:spacing w:after="80"/>
        <w:jc w:val="both"/>
        <w:rPr>
          <w:rFonts w:ascii="Calibri" w:hAnsi="Calibri" w:cs="Calibri"/>
        </w:rPr>
      </w:pPr>
    </w:p>
    <w:p w14:paraId="1E8B9D93" w14:textId="77777777" w:rsidR="006D018F" w:rsidRPr="00664FD3" w:rsidRDefault="00000000" w:rsidP="00564872">
      <w:pPr>
        <w:spacing w:after="40"/>
        <w:jc w:val="both"/>
        <w:rPr>
          <w:rFonts w:ascii="Calibri" w:hAnsi="Calibri" w:cs="Calibri"/>
        </w:rPr>
      </w:pPr>
      <w:r w:rsidRPr="00664FD3">
        <w:rPr>
          <w:rFonts w:ascii="Calibri" w:hAnsi="Calibri" w:cs="Calibri"/>
        </w:rPr>
        <w:t>The core search string is:</w:t>
      </w:r>
    </w:p>
    <w:p w14:paraId="6D28D170" w14:textId="77777777" w:rsidR="006D018F" w:rsidRPr="00664FD3" w:rsidRDefault="00000000" w:rsidP="00564872">
      <w:pPr>
        <w:spacing w:after="120"/>
        <w:rPr>
          <w:rFonts w:ascii="Calibri" w:hAnsi="Calibri" w:cs="Calibri"/>
        </w:rPr>
      </w:pPr>
      <w:r w:rsidRPr="00664FD3">
        <w:rPr>
          <w:rFonts w:ascii="Calibri" w:hAnsi="Calibri" w:cs="Calibri"/>
          <w:sz w:val="20"/>
          <w:szCs w:val="20"/>
        </w:rPr>
        <w:t>(“</w:t>
      </w:r>
      <w:proofErr w:type="spellStart"/>
      <w:r w:rsidRPr="00664FD3">
        <w:rPr>
          <w:rFonts w:ascii="Calibri" w:hAnsi="Calibri" w:cs="Calibri"/>
          <w:sz w:val="20"/>
          <w:szCs w:val="20"/>
        </w:rPr>
        <w:t>ecolinguistic</w:t>
      </w:r>
      <w:proofErr w:type="spellEnd"/>
      <w:r w:rsidRPr="00664FD3">
        <w:rPr>
          <w:rFonts w:ascii="Calibri" w:hAnsi="Calibri" w:cs="Calibri"/>
          <w:i/>
          <w:iCs/>
          <w:sz w:val="20"/>
          <w:szCs w:val="20"/>
        </w:rPr>
        <w:t>” OR “ecological discourse” OR “environmental discourse”) AND (“refugee</w:t>
      </w:r>
      <w:r w:rsidRPr="00664FD3">
        <w:rPr>
          <w:rFonts w:ascii="Calibri" w:hAnsi="Calibri" w:cs="Calibri"/>
          <w:sz w:val="20"/>
          <w:szCs w:val="20"/>
        </w:rPr>
        <w:t>” OR “displace</w:t>
      </w:r>
      <w:r w:rsidRPr="00664FD3">
        <w:rPr>
          <w:rFonts w:ascii="Calibri" w:hAnsi="Calibri" w:cs="Calibri"/>
          <w:i/>
          <w:iCs/>
          <w:sz w:val="20"/>
          <w:szCs w:val="20"/>
        </w:rPr>
        <w:t>” OR “Rohingya”) AND (“</w:t>
      </w:r>
      <w:proofErr w:type="spellStart"/>
      <w:r w:rsidRPr="00664FD3">
        <w:rPr>
          <w:rFonts w:ascii="Calibri" w:hAnsi="Calibri" w:cs="Calibri"/>
          <w:i/>
          <w:iCs/>
          <w:sz w:val="20"/>
          <w:szCs w:val="20"/>
        </w:rPr>
        <w:t>vulnerabilit</w:t>
      </w:r>
      <w:proofErr w:type="spellEnd"/>
      <w:r w:rsidRPr="00664FD3">
        <w:rPr>
          <w:rFonts w:ascii="Calibri" w:hAnsi="Calibri" w:cs="Calibri"/>
          <w:sz w:val="20"/>
          <w:szCs w:val="20"/>
        </w:rPr>
        <w:t>” OR “environment*” OR “climate”)</w:t>
      </w:r>
    </w:p>
    <w:p w14:paraId="51F7A900" w14:textId="77777777" w:rsidR="006D018F" w:rsidRPr="00664FD3" w:rsidRDefault="00000000" w:rsidP="00564872">
      <w:pPr>
        <w:spacing w:after="120"/>
        <w:jc w:val="both"/>
        <w:rPr>
          <w:rFonts w:ascii="Calibri" w:hAnsi="Calibri" w:cs="Calibri"/>
        </w:rPr>
      </w:pPr>
      <w:r w:rsidRPr="00664FD3">
        <w:rPr>
          <w:rFonts w:ascii="Calibri" w:hAnsi="Calibri" w:cs="Calibri"/>
        </w:rPr>
        <w:t xml:space="preserve">Filters restrict results to 2000–2026, English and Bangla, and article, review, and chapter types. The search is supplemented by backward and forward citation chaining from core </w:t>
      </w:r>
      <w:proofErr w:type="spellStart"/>
      <w:r w:rsidRPr="00664FD3">
        <w:rPr>
          <w:rFonts w:ascii="Calibri" w:hAnsi="Calibri" w:cs="Calibri"/>
        </w:rPr>
        <w:t>ecolinguistic</w:t>
      </w:r>
      <w:proofErr w:type="spellEnd"/>
      <w:r w:rsidRPr="00664FD3">
        <w:rPr>
          <w:rFonts w:ascii="Calibri" w:hAnsi="Calibri" w:cs="Calibri"/>
        </w:rPr>
        <w:t xml:space="preserve"> sources and by saved-search alerts maintained across the review period. Bangla-language sources are included in order to capture regional environmental and policy scholarship published in Bangla. Rohingya-language material is treated as a data question rather than a database question: it will be generated through fieldwork.</w:t>
      </w:r>
    </w:p>
    <w:p w14:paraId="251B53D2" w14:textId="77777777" w:rsidR="006D018F" w:rsidRPr="00664FD3" w:rsidRDefault="00000000" w:rsidP="00564872">
      <w:pPr>
        <w:spacing w:before="120" w:after="40"/>
        <w:jc w:val="both"/>
        <w:rPr>
          <w:rFonts w:ascii="Calibri" w:hAnsi="Calibri" w:cs="Calibri"/>
        </w:rPr>
      </w:pPr>
      <w:r w:rsidRPr="00664FD3">
        <w:rPr>
          <w:rFonts w:ascii="Calibri" w:hAnsi="Calibri" w:cs="Calibri"/>
          <w:b/>
          <w:bCs/>
          <w:i/>
          <w:iCs/>
        </w:rPr>
        <w:t>Synthesis procedure</w:t>
      </w:r>
    </w:p>
    <w:p w14:paraId="246B6B91" w14:textId="77777777" w:rsidR="006D018F" w:rsidRPr="00664FD3" w:rsidRDefault="00000000" w:rsidP="00564872">
      <w:pPr>
        <w:spacing w:after="120"/>
        <w:jc w:val="both"/>
        <w:rPr>
          <w:rFonts w:ascii="Calibri" w:hAnsi="Calibri" w:cs="Calibri"/>
        </w:rPr>
      </w:pPr>
      <w:r w:rsidRPr="00664FD3">
        <w:rPr>
          <w:rFonts w:ascii="Calibri" w:hAnsi="Calibri" w:cs="Calibri"/>
        </w:rPr>
        <w:t>Synthesis proceeds in four steps. Retained studies are first clustered by theme rather than summarised one by one. Each cluster is then mapped against the four research objectives to expose what is already answered. The beneficial–ambivalent–destructive continuum is next applied to the literature itself. Finally, the residual gap is stated precisely, and this statement constitutes the warrant for the study.</w:t>
      </w:r>
    </w:p>
    <w:p w14:paraId="480A7011" w14:textId="77777777" w:rsidR="006D018F" w:rsidRPr="00664FD3" w:rsidRDefault="00000000" w:rsidP="00564872">
      <w:pPr>
        <w:spacing w:before="120" w:after="40"/>
        <w:jc w:val="both"/>
        <w:rPr>
          <w:rFonts w:ascii="Calibri" w:hAnsi="Calibri" w:cs="Calibri"/>
        </w:rPr>
      </w:pPr>
      <w:r w:rsidRPr="00664FD3">
        <w:rPr>
          <w:rFonts w:ascii="Calibri" w:hAnsi="Calibri" w:cs="Calibri"/>
          <w:b/>
          <w:bCs/>
          <w:i/>
          <w:iCs/>
        </w:rPr>
        <w:t>Preliminary results</w:t>
      </w:r>
    </w:p>
    <w:p w14:paraId="537A2693" w14:textId="77777777" w:rsidR="006D018F" w:rsidRPr="00664FD3" w:rsidRDefault="00000000" w:rsidP="00564872">
      <w:pPr>
        <w:spacing w:after="120"/>
        <w:jc w:val="both"/>
        <w:rPr>
          <w:rFonts w:ascii="Calibri" w:hAnsi="Calibri" w:cs="Calibri"/>
        </w:rPr>
      </w:pPr>
      <w:r w:rsidRPr="00664FD3">
        <w:rPr>
          <w:rFonts w:ascii="Calibri" w:hAnsi="Calibri" w:cs="Calibri"/>
        </w:rPr>
        <w:t xml:space="preserve">Mapping to date identifies three strengths in the existing evidence base: a biophysical literature that has quantified land cover change and modelled landslide hazard in the district [2], [3]; a mature </w:t>
      </w:r>
      <w:proofErr w:type="spellStart"/>
      <w:r w:rsidRPr="00664FD3">
        <w:rPr>
          <w:rFonts w:ascii="Calibri" w:hAnsi="Calibri" w:cs="Calibri"/>
        </w:rPr>
        <w:t>ecolinguistic</w:t>
      </w:r>
      <w:proofErr w:type="spellEnd"/>
      <w:r w:rsidRPr="00664FD3">
        <w:rPr>
          <w:rFonts w:ascii="Calibri" w:hAnsi="Calibri" w:cs="Calibri"/>
        </w:rPr>
        <w:t xml:space="preserve"> toolkit with explicit analytical categories [4]; and a demonstrated corpus-assisted CDA method for analysing refugee representation at scale [10]. It also identifies four gaps. Environmental work on Cox’s Bazar measures the crisis rather than analysing how it is represented; the refugee-discourse research identified concentrates on press corpora rather than humanitarian institutional genres; Rohingya ecological vocabulary and metaphor are largely absent from published linguistic analysis; and no study identified to date applies an </w:t>
      </w:r>
      <w:proofErr w:type="spellStart"/>
      <w:r w:rsidRPr="00664FD3">
        <w:rPr>
          <w:rFonts w:ascii="Calibri" w:hAnsi="Calibri" w:cs="Calibri"/>
        </w:rPr>
        <w:t>ecolinguistic</w:t>
      </w:r>
      <w:proofErr w:type="spellEnd"/>
      <w:r w:rsidRPr="00664FD3">
        <w:rPr>
          <w:rFonts w:ascii="Calibri" w:hAnsi="Calibri" w:cs="Calibri"/>
        </w:rPr>
        <w:t xml:space="preserve"> evaluative framework to this population.</w:t>
      </w:r>
    </w:p>
    <w:p w14:paraId="1026AC8C" w14:textId="77777777" w:rsidR="006D018F" w:rsidRPr="00664FD3" w:rsidRDefault="00000000" w:rsidP="00564872">
      <w:pPr>
        <w:spacing w:before="200" w:after="40"/>
        <w:jc w:val="both"/>
        <w:rPr>
          <w:rFonts w:ascii="Calibri" w:hAnsi="Calibri" w:cs="Calibri"/>
        </w:rPr>
      </w:pPr>
      <w:r w:rsidRPr="00664FD3">
        <w:rPr>
          <w:rFonts w:ascii="Calibri" w:hAnsi="Calibri" w:cs="Calibri"/>
          <w:b/>
          <w:bCs/>
        </w:rPr>
        <w:t>Conclusion</w:t>
      </w:r>
    </w:p>
    <w:p w14:paraId="73494E6F" w14:textId="77777777" w:rsidR="00070AAB" w:rsidRPr="00664FD3" w:rsidRDefault="00070AAB" w:rsidP="00070AAB">
      <w:pPr>
        <w:spacing w:before="200" w:after="40"/>
        <w:jc w:val="both"/>
        <w:rPr>
          <w:rFonts w:ascii="Calibri" w:hAnsi="Calibri" w:cs="Calibri"/>
          <w:lang w:val="en-US"/>
        </w:rPr>
      </w:pPr>
      <w:r w:rsidRPr="00664FD3">
        <w:rPr>
          <w:rFonts w:ascii="Calibri" w:hAnsi="Calibri" w:cs="Calibri"/>
          <w:lang w:val="en-US"/>
        </w:rPr>
        <w:t xml:space="preserve">The environmental crisis in Cox’s Bazar has been measured but not read, and the people living in it have not been heard in their own ecological language. The protocol presented here is designed to </w:t>
      </w:r>
      <w:r w:rsidRPr="00664FD3">
        <w:rPr>
          <w:rFonts w:ascii="Calibri" w:hAnsi="Calibri" w:cs="Calibri"/>
          <w:lang w:val="en-US"/>
        </w:rPr>
        <w:lastRenderedPageBreak/>
        <w:t xml:space="preserve">close this gap by </w:t>
      </w:r>
      <w:proofErr w:type="spellStart"/>
      <w:r w:rsidRPr="00664FD3">
        <w:rPr>
          <w:rFonts w:ascii="Calibri" w:hAnsi="Calibri" w:cs="Calibri"/>
          <w:lang w:val="en-US"/>
        </w:rPr>
        <w:t>analysing</w:t>
      </w:r>
      <w:proofErr w:type="spellEnd"/>
      <w:r w:rsidRPr="00664FD3">
        <w:rPr>
          <w:rFonts w:ascii="Calibri" w:hAnsi="Calibri" w:cs="Calibri"/>
          <w:lang w:val="en-US"/>
        </w:rPr>
        <w:t xml:space="preserve"> institutional and community constructions of vulnerability separately and then comparing them on a single evaluative continuum. The Second Conference will present four additional components: the corpus specification and analytical procedure; the PRISMA screening flow diagram and final record set; the coding scheme, with its deductive categories and reliability protocol; and ethics status, covering institutional approval and agency clearance. Population and environmental figures in this paper are reported as estimates from the cited agency and peer-reviewed sources. They are not presented as original findings of this study.</w:t>
      </w:r>
    </w:p>
    <w:p w14:paraId="06F0067E" w14:textId="77777777" w:rsidR="006D018F" w:rsidRPr="00664FD3" w:rsidRDefault="00000000" w:rsidP="00564872">
      <w:pPr>
        <w:spacing w:before="200" w:after="40"/>
        <w:jc w:val="both"/>
        <w:rPr>
          <w:rFonts w:ascii="Calibri" w:hAnsi="Calibri" w:cs="Calibri"/>
        </w:rPr>
      </w:pPr>
      <w:r w:rsidRPr="00664FD3">
        <w:rPr>
          <w:rFonts w:ascii="Calibri" w:hAnsi="Calibri" w:cs="Calibri"/>
          <w:b/>
          <w:bCs/>
        </w:rPr>
        <w:t>References</w:t>
      </w:r>
    </w:p>
    <w:p w14:paraId="4CD5AC3E" w14:textId="020E8ADA"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1] UNHCR, “Bangladesh: Operational overview,” UNHCR Operational Data Portal. [Online]. Available: </w:t>
      </w:r>
      <w:hyperlink r:id="rId8" w:history="1">
        <w:r w:rsidRPr="00664FD3">
          <w:rPr>
            <w:rFonts w:ascii="Calibri" w:eastAsia="Times New Roman" w:hAnsi="Calibri" w:cs="Calibri"/>
            <w:color w:val="0563C1"/>
            <w:sz w:val="20"/>
            <w:szCs w:val="20"/>
            <w:u w:val="single"/>
            <w:lang w:val="en-US"/>
          </w:rPr>
          <w:t>https://data.unhcr.org/en/country/bgd/591</w:t>
        </w:r>
      </w:hyperlink>
      <w:r w:rsidRPr="00664FD3">
        <w:rPr>
          <w:rFonts w:ascii="Calibri" w:eastAsia="Times New Roman" w:hAnsi="Calibri" w:cs="Calibri"/>
          <w:color w:val="000000"/>
          <w:sz w:val="20"/>
          <w:szCs w:val="20"/>
          <w:lang w:val="en-US"/>
        </w:rPr>
        <w:t xml:space="preserve"> (accessed Sep. 19, 2026).</w:t>
      </w:r>
      <w:r w:rsidRPr="00664FD3">
        <w:rPr>
          <w:rFonts w:ascii="Calibri" w:eastAsia="Times New Roman" w:hAnsi="Calibri" w:cs="Calibri"/>
          <w:color w:val="000000"/>
          <w:sz w:val="20"/>
          <w:szCs w:val="20"/>
          <w:lang w:val="en-US"/>
        </w:rPr>
        <w:br/>
      </w:r>
    </w:p>
    <w:p w14:paraId="3C3D9DD1" w14:textId="074F27BD"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[2] M. M. Hassan, A. C. Smith, K. Walker, M. K. Rahman, and J. Southworth, “Rohingya refugee crisis and forest cover change in Teknaf, Bangladesh,” </w:t>
      </w:r>
      <w:r w:rsidRPr="00664FD3">
        <w:rPr>
          <w:rFonts w:ascii="Calibri" w:eastAsia="Times New Roman" w:hAnsi="Calibri" w:cs="Calibri"/>
          <w:i/>
          <w:iCs/>
          <w:color w:val="000000"/>
          <w:sz w:val="20"/>
          <w:szCs w:val="20"/>
          <w:lang w:val="en-US"/>
        </w:rPr>
        <w:t>Remote Sensing</w:t>
      </w:r>
      <w:r w:rsidRPr="00664FD3">
        <w:rPr>
          <w:rFonts w:ascii="Calibri" w:eastAsia="Times New Roman" w:hAnsi="Calibri" w:cs="Calibri"/>
          <w:color w:val="000000"/>
          <w:sz w:val="20"/>
          <w:szCs w:val="20"/>
          <w:lang w:val="en-US"/>
        </w:rPr>
        <w:t xml:space="preserve">, vol. 10, no. 5, Art. no. 689, 2018,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9" w:history="1">
        <w:r w:rsidRPr="00664FD3">
          <w:rPr>
            <w:rFonts w:ascii="Calibri" w:eastAsia="Times New Roman" w:hAnsi="Calibri" w:cs="Calibri"/>
            <w:color w:val="0563C1"/>
            <w:sz w:val="20"/>
            <w:szCs w:val="20"/>
            <w:u w:val="single"/>
            <w:lang w:val="en-US"/>
          </w:rPr>
          <w:t>10.3390/rs10050689</w:t>
        </w:r>
      </w:hyperlink>
      <w:r w:rsidRPr="00664FD3">
        <w:rPr>
          <w:rFonts w:ascii="Calibri" w:eastAsia="Times New Roman" w:hAnsi="Calibri" w:cs="Calibri"/>
          <w:color w:val="000000"/>
          <w:sz w:val="20"/>
          <w:szCs w:val="20"/>
          <w:lang w:val="en-US"/>
        </w:rPr>
        <w:t>.</w:t>
      </w:r>
      <w:r w:rsidRPr="00664FD3">
        <w:rPr>
          <w:rFonts w:ascii="Calibri" w:eastAsia="Times New Roman" w:hAnsi="Calibri" w:cs="Calibri"/>
          <w:color w:val="000000"/>
          <w:sz w:val="20"/>
          <w:szCs w:val="20"/>
          <w:lang w:val="en-US"/>
        </w:rPr>
        <w:br/>
      </w:r>
    </w:p>
    <w:p w14:paraId="22DC25DB" w14:textId="557D3305"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[3] B. Ahmed, M. S. Rahman, P. </w:t>
      </w:r>
      <w:proofErr w:type="spellStart"/>
      <w:r w:rsidRPr="00664FD3">
        <w:rPr>
          <w:rFonts w:ascii="Calibri" w:eastAsia="Times New Roman" w:hAnsi="Calibri" w:cs="Calibri"/>
          <w:color w:val="000000"/>
          <w:sz w:val="20"/>
          <w:szCs w:val="20"/>
          <w:lang w:val="en-US"/>
        </w:rPr>
        <w:t>Sammonds</w:t>
      </w:r>
      <w:proofErr w:type="spellEnd"/>
      <w:r w:rsidRPr="00664FD3">
        <w:rPr>
          <w:rFonts w:ascii="Calibri" w:eastAsia="Times New Roman" w:hAnsi="Calibri" w:cs="Calibri"/>
          <w:color w:val="000000"/>
          <w:sz w:val="20"/>
          <w:szCs w:val="20"/>
          <w:lang w:val="en-US"/>
        </w:rPr>
        <w:t xml:space="preserve">, R. Islam, and K. Uddin, “Application of geospatial technologies in developing a dynamic landslide early warning system in a humanitarian context: The Rohingya refugee crisis in Cox’s Bazar, Bangladesh,” </w:t>
      </w:r>
      <w:r w:rsidRPr="00664FD3">
        <w:rPr>
          <w:rFonts w:ascii="Calibri" w:eastAsia="Times New Roman" w:hAnsi="Calibri" w:cs="Calibri"/>
          <w:i/>
          <w:iCs/>
          <w:color w:val="000000"/>
          <w:sz w:val="20"/>
          <w:szCs w:val="20"/>
          <w:lang w:val="en-US"/>
        </w:rPr>
        <w:t>Geomatics, Natural Hazards and Risk</w:t>
      </w:r>
      <w:r w:rsidRPr="00664FD3">
        <w:rPr>
          <w:rFonts w:ascii="Calibri" w:eastAsia="Times New Roman" w:hAnsi="Calibri" w:cs="Calibri"/>
          <w:color w:val="000000"/>
          <w:sz w:val="20"/>
          <w:szCs w:val="20"/>
          <w:lang w:val="en-US"/>
        </w:rPr>
        <w:t xml:space="preserve">, vol. 11, no. 1, pp. 446–468, 2020,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0" w:history="1">
        <w:r w:rsidRPr="00664FD3">
          <w:rPr>
            <w:rFonts w:ascii="Calibri" w:eastAsia="Times New Roman" w:hAnsi="Calibri" w:cs="Calibri"/>
            <w:color w:val="0563C1"/>
            <w:sz w:val="20"/>
            <w:szCs w:val="20"/>
            <w:u w:val="single"/>
            <w:lang w:val="en-US"/>
          </w:rPr>
          <w:t>10.1080/19475705.2020.1730988</w:t>
        </w:r>
      </w:hyperlink>
      <w:r w:rsidRPr="00664FD3">
        <w:rPr>
          <w:rFonts w:ascii="Calibri" w:eastAsia="Times New Roman" w:hAnsi="Calibri" w:cs="Calibri"/>
          <w:color w:val="000000"/>
          <w:sz w:val="20"/>
          <w:szCs w:val="20"/>
          <w:lang w:val="en-US"/>
        </w:rPr>
        <w:t>.</w:t>
      </w:r>
      <w:r w:rsidRPr="00664FD3">
        <w:rPr>
          <w:rFonts w:ascii="Calibri" w:eastAsia="Times New Roman" w:hAnsi="Calibri" w:cs="Calibri"/>
          <w:color w:val="000000"/>
          <w:sz w:val="20"/>
          <w:szCs w:val="20"/>
          <w:lang w:val="en-US"/>
        </w:rPr>
        <w:br/>
      </w:r>
    </w:p>
    <w:p w14:paraId="72A50E9C" w14:textId="10457C33"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[4] A. Stibbe, </w:t>
      </w:r>
      <w:r w:rsidRPr="00664FD3">
        <w:rPr>
          <w:rFonts w:ascii="Calibri" w:eastAsia="Times New Roman" w:hAnsi="Calibri" w:cs="Calibri"/>
          <w:i/>
          <w:iCs/>
          <w:color w:val="000000"/>
          <w:sz w:val="20"/>
          <w:szCs w:val="20"/>
          <w:lang w:val="en-US"/>
        </w:rPr>
        <w:t>Ecolinguistics: Language, Ecology and the Stories We Live By</w:t>
      </w:r>
      <w:r w:rsidRPr="00664FD3">
        <w:rPr>
          <w:rFonts w:ascii="Calibri" w:eastAsia="Times New Roman" w:hAnsi="Calibri" w:cs="Calibri"/>
          <w:color w:val="000000"/>
          <w:sz w:val="20"/>
          <w:szCs w:val="20"/>
          <w:lang w:val="en-US"/>
        </w:rPr>
        <w:t>. London, U.K.: Routledge, 2015.</w:t>
      </w:r>
      <w:r w:rsidRPr="00664FD3">
        <w:rPr>
          <w:rFonts w:ascii="Calibri" w:eastAsia="Times New Roman" w:hAnsi="Calibri" w:cs="Calibri"/>
          <w:color w:val="000000"/>
          <w:sz w:val="20"/>
          <w:szCs w:val="20"/>
          <w:lang w:val="en-US"/>
        </w:rPr>
        <w:br/>
      </w:r>
    </w:p>
    <w:p w14:paraId="412E5E86" w14:textId="0EA0E045"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[5] A. Fill and P. </w:t>
      </w:r>
      <w:proofErr w:type="spellStart"/>
      <w:r w:rsidRPr="00664FD3">
        <w:rPr>
          <w:rFonts w:ascii="Calibri" w:eastAsia="Times New Roman" w:hAnsi="Calibri" w:cs="Calibri"/>
          <w:color w:val="000000"/>
          <w:sz w:val="20"/>
          <w:szCs w:val="20"/>
          <w:lang w:val="en-US"/>
        </w:rPr>
        <w:t>Mühlhäusler</w:t>
      </w:r>
      <w:proofErr w:type="spellEnd"/>
      <w:r w:rsidRPr="00664FD3">
        <w:rPr>
          <w:rFonts w:ascii="Calibri" w:eastAsia="Times New Roman" w:hAnsi="Calibri" w:cs="Calibri"/>
          <w:color w:val="000000"/>
          <w:sz w:val="20"/>
          <w:szCs w:val="20"/>
          <w:lang w:val="en-US"/>
        </w:rPr>
        <w:t xml:space="preserve">, Eds., </w:t>
      </w:r>
      <w:r w:rsidRPr="00664FD3">
        <w:rPr>
          <w:rFonts w:ascii="Calibri" w:eastAsia="Times New Roman" w:hAnsi="Calibri" w:cs="Calibri"/>
          <w:i/>
          <w:iCs/>
          <w:color w:val="000000"/>
          <w:sz w:val="20"/>
          <w:szCs w:val="20"/>
          <w:lang w:val="en-US"/>
        </w:rPr>
        <w:t>The Ecolinguistics Reader: Language, Ecology and Environment</w:t>
      </w:r>
      <w:r w:rsidRPr="00664FD3">
        <w:rPr>
          <w:rFonts w:ascii="Calibri" w:eastAsia="Times New Roman" w:hAnsi="Calibri" w:cs="Calibri"/>
          <w:color w:val="000000"/>
          <w:sz w:val="20"/>
          <w:szCs w:val="20"/>
          <w:lang w:val="en-US"/>
        </w:rPr>
        <w:t>. London, U.K.: Continuum, 2001.</w:t>
      </w:r>
      <w:r w:rsidRPr="00664FD3">
        <w:rPr>
          <w:rFonts w:ascii="Calibri" w:eastAsia="Times New Roman" w:hAnsi="Calibri" w:cs="Calibri"/>
          <w:color w:val="000000"/>
          <w:sz w:val="20"/>
          <w:szCs w:val="20"/>
          <w:lang w:val="en-US"/>
        </w:rPr>
        <w:br/>
      </w:r>
    </w:p>
    <w:p w14:paraId="2AED0B3B" w14:textId="7D6E706C"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[6] R. Alexander and A. Stibbe, “From the analysis of ecological discourse to the ecological analysis of discourse,” </w:t>
      </w:r>
      <w:r w:rsidRPr="00664FD3">
        <w:rPr>
          <w:rFonts w:ascii="Calibri" w:eastAsia="Times New Roman" w:hAnsi="Calibri" w:cs="Calibri"/>
          <w:i/>
          <w:iCs/>
          <w:color w:val="000000"/>
          <w:sz w:val="20"/>
          <w:szCs w:val="20"/>
          <w:lang w:val="en-US"/>
        </w:rPr>
        <w:t>Language Sciences</w:t>
      </w:r>
      <w:r w:rsidRPr="00664FD3">
        <w:rPr>
          <w:rFonts w:ascii="Calibri" w:eastAsia="Times New Roman" w:hAnsi="Calibri" w:cs="Calibri"/>
          <w:color w:val="000000"/>
          <w:sz w:val="20"/>
          <w:szCs w:val="20"/>
          <w:lang w:val="en-US"/>
        </w:rPr>
        <w:t xml:space="preserve">, vol. 41, pp. 104–110, 2014,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1" w:history="1">
        <w:r w:rsidRPr="00664FD3">
          <w:rPr>
            <w:rFonts w:ascii="Calibri" w:eastAsia="Times New Roman" w:hAnsi="Calibri" w:cs="Calibri"/>
            <w:color w:val="0563C1"/>
            <w:sz w:val="20"/>
            <w:szCs w:val="20"/>
            <w:u w:val="single"/>
            <w:lang w:val="en-US"/>
          </w:rPr>
          <w:t>10.1016/j.langsci.2013.08.011</w:t>
        </w:r>
      </w:hyperlink>
      <w:r w:rsidRPr="00664FD3">
        <w:rPr>
          <w:rFonts w:ascii="Calibri" w:eastAsia="Times New Roman" w:hAnsi="Calibri" w:cs="Calibri"/>
          <w:color w:val="000000"/>
          <w:sz w:val="20"/>
          <w:szCs w:val="20"/>
          <w:lang w:val="en-US"/>
        </w:rPr>
        <w:t>.</w:t>
      </w:r>
      <w:r w:rsidRPr="00664FD3">
        <w:rPr>
          <w:rFonts w:ascii="Calibri" w:eastAsia="Times New Roman" w:hAnsi="Calibri" w:cs="Calibri"/>
          <w:color w:val="000000"/>
          <w:sz w:val="20"/>
          <w:szCs w:val="20"/>
          <w:lang w:val="en-US"/>
        </w:rPr>
        <w:br/>
      </w:r>
    </w:p>
    <w:p w14:paraId="62D49406" w14:textId="080330A9"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[7] A. Stibbe, “An </w:t>
      </w:r>
      <w:proofErr w:type="spellStart"/>
      <w:r w:rsidRPr="00664FD3">
        <w:rPr>
          <w:rFonts w:ascii="Calibri" w:eastAsia="Times New Roman" w:hAnsi="Calibri" w:cs="Calibri"/>
          <w:color w:val="000000"/>
          <w:sz w:val="20"/>
          <w:szCs w:val="20"/>
          <w:lang w:val="en-US"/>
        </w:rPr>
        <w:t>ecolinguistic</w:t>
      </w:r>
      <w:proofErr w:type="spellEnd"/>
      <w:r w:rsidRPr="00664FD3">
        <w:rPr>
          <w:rFonts w:ascii="Calibri" w:eastAsia="Times New Roman" w:hAnsi="Calibri" w:cs="Calibri"/>
          <w:color w:val="000000"/>
          <w:sz w:val="20"/>
          <w:szCs w:val="20"/>
          <w:lang w:val="en-US"/>
        </w:rPr>
        <w:t xml:space="preserve"> approach to critical discourse studies,” </w:t>
      </w:r>
      <w:r w:rsidRPr="00664FD3">
        <w:rPr>
          <w:rFonts w:ascii="Calibri" w:eastAsia="Times New Roman" w:hAnsi="Calibri" w:cs="Calibri"/>
          <w:i/>
          <w:iCs/>
          <w:color w:val="000000"/>
          <w:sz w:val="20"/>
          <w:szCs w:val="20"/>
          <w:lang w:val="en-US"/>
        </w:rPr>
        <w:t>Critical Discourse Studies</w:t>
      </w:r>
      <w:r w:rsidRPr="00664FD3">
        <w:rPr>
          <w:rFonts w:ascii="Calibri" w:eastAsia="Times New Roman" w:hAnsi="Calibri" w:cs="Calibri"/>
          <w:color w:val="000000"/>
          <w:sz w:val="20"/>
          <w:szCs w:val="20"/>
          <w:lang w:val="en-US"/>
        </w:rPr>
        <w:t xml:space="preserve">, vol. 11, no. 1, pp. 117–128, 2014,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2" w:history="1">
        <w:r w:rsidRPr="00664FD3">
          <w:rPr>
            <w:rFonts w:ascii="Calibri" w:eastAsia="Times New Roman" w:hAnsi="Calibri" w:cs="Calibri"/>
            <w:color w:val="0563C1"/>
            <w:sz w:val="20"/>
            <w:szCs w:val="20"/>
            <w:u w:val="single"/>
            <w:lang w:val="en-US"/>
          </w:rPr>
          <w:t>10.1080/17405904.2013.845789</w:t>
        </w:r>
      </w:hyperlink>
      <w:r w:rsidRPr="00664FD3">
        <w:rPr>
          <w:rFonts w:ascii="Calibri" w:eastAsia="Times New Roman" w:hAnsi="Calibri" w:cs="Calibri"/>
          <w:color w:val="000000"/>
          <w:sz w:val="20"/>
          <w:szCs w:val="20"/>
          <w:lang w:val="en-US"/>
        </w:rPr>
        <w:t>.</w:t>
      </w:r>
      <w:r w:rsidRPr="00664FD3">
        <w:rPr>
          <w:rFonts w:ascii="Calibri" w:eastAsia="Times New Roman" w:hAnsi="Calibri" w:cs="Calibri"/>
          <w:color w:val="000000"/>
          <w:sz w:val="20"/>
          <w:szCs w:val="20"/>
          <w:lang w:val="en-US"/>
        </w:rPr>
        <w:br/>
      </w:r>
    </w:p>
    <w:p w14:paraId="103F8FDC" w14:textId="10DBE5CF"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[8] N. Fairclough, </w:t>
      </w:r>
      <w:r w:rsidRPr="00664FD3">
        <w:rPr>
          <w:rFonts w:ascii="Calibri" w:eastAsia="Times New Roman" w:hAnsi="Calibri" w:cs="Calibri"/>
          <w:i/>
          <w:iCs/>
          <w:color w:val="000000"/>
          <w:sz w:val="20"/>
          <w:szCs w:val="20"/>
          <w:lang w:val="en-US"/>
        </w:rPr>
        <w:t>Discourse and Social Change</w:t>
      </w:r>
      <w:r w:rsidRPr="00664FD3">
        <w:rPr>
          <w:rFonts w:ascii="Calibri" w:eastAsia="Times New Roman" w:hAnsi="Calibri" w:cs="Calibri"/>
          <w:color w:val="000000"/>
          <w:sz w:val="20"/>
          <w:szCs w:val="20"/>
          <w:lang w:val="en-US"/>
        </w:rPr>
        <w:t>. Cambridge, U.K.: Polity Press, 1992.</w:t>
      </w:r>
      <w:r w:rsidRPr="00664FD3">
        <w:rPr>
          <w:rFonts w:ascii="Calibri" w:eastAsia="Times New Roman" w:hAnsi="Calibri" w:cs="Calibri"/>
          <w:color w:val="000000"/>
          <w:sz w:val="20"/>
          <w:szCs w:val="20"/>
          <w:lang w:val="en-US"/>
        </w:rPr>
        <w:br/>
      </w:r>
    </w:p>
    <w:p w14:paraId="717EB10D" w14:textId="72AEBA05"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[9] N. Fairclough, </w:t>
      </w:r>
      <w:r w:rsidRPr="00664FD3">
        <w:rPr>
          <w:rFonts w:ascii="Calibri" w:eastAsia="Times New Roman" w:hAnsi="Calibri" w:cs="Calibri"/>
          <w:i/>
          <w:iCs/>
          <w:color w:val="000000"/>
          <w:sz w:val="20"/>
          <w:szCs w:val="20"/>
          <w:lang w:val="en-US"/>
        </w:rPr>
        <w:t>Critical Discourse Analysis: The Critical Study of Language</w:t>
      </w:r>
      <w:r w:rsidRPr="00664FD3">
        <w:rPr>
          <w:rFonts w:ascii="Calibri" w:eastAsia="Times New Roman" w:hAnsi="Calibri" w:cs="Calibri"/>
          <w:color w:val="000000"/>
          <w:sz w:val="20"/>
          <w:szCs w:val="20"/>
          <w:lang w:val="en-US"/>
        </w:rPr>
        <w:t>. London, U.K.: Longman, 1995.</w:t>
      </w:r>
      <w:r w:rsidRPr="00664FD3">
        <w:rPr>
          <w:rFonts w:ascii="Calibri" w:eastAsia="Times New Roman" w:hAnsi="Calibri" w:cs="Calibri"/>
          <w:color w:val="000000"/>
          <w:sz w:val="20"/>
          <w:szCs w:val="20"/>
          <w:lang w:val="en-US"/>
        </w:rPr>
        <w:br/>
      </w:r>
    </w:p>
    <w:p w14:paraId="245B4087" w14:textId="29EAA750"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t xml:space="preserve">[10] P. Baker, C. </w:t>
      </w:r>
      <w:proofErr w:type="spellStart"/>
      <w:r w:rsidRPr="00664FD3">
        <w:rPr>
          <w:rFonts w:ascii="Calibri" w:eastAsia="Times New Roman" w:hAnsi="Calibri" w:cs="Calibri"/>
          <w:color w:val="000000"/>
          <w:sz w:val="20"/>
          <w:szCs w:val="20"/>
          <w:lang w:val="en-US"/>
        </w:rPr>
        <w:t>Gabrielatos</w:t>
      </w:r>
      <w:proofErr w:type="spellEnd"/>
      <w:r w:rsidRPr="00664FD3">
        <w:rPr>
          <w:rFonts w:ascii="Calibri" w:eastAsia="Times New Roman" w:hAnsi="Calibri" w:cs="Calibri"/>
          <w:color w:val="000000"/>
          <w:sz w:val="20"/>
          <w:szCs w:val="20"/>
          <w:lang w:val="en-US"/>
        </w:rPr>
        <w:t xml:space="preserve">, M. </w:t>
      </w:r>
      <w:proofErr w:type="spellStart"/>
      <w:r w:rsidRPr="00664FD3">
        <w:rPr>
          <w:rFonts w:ascii="Calibri" w:eastAsia="Times New Roman" w:hAnsi="Calibri" w:cs="Calibri"/>
          <w:color w:val="000000"/>
          <w:sz w:val="20"/>
          <w:szCs w:val="20"/>
          <w:lang w:val="en-US"/>
        </w:rPr>
        <w:t>KhosraviNik</w:t>
      </w:r>
      <w:proofErr w:type="spellEnd"/>
      <w:r w:rsidRPr="00664FD3">
        <w:rPr>
          <w:rFonts w:ascii="Calibri" w:eastAsia="Times New Roman" w:hAnsi="Calibri" w:cs="Calibri"/>
          <w:color w:val="000000"/>
          <w:sz w:val="20"/>
          <w:szCs w:val="20"/>
          <w:lang w:val="en-US"/>
        </w:rPr>
        <w:t xml:space="preserve">, M. Krzyżanowski, T. McEnery, and R. </w:t>
      </w:r>
      <w:proofErr w:type="spellStart"/>
      <w:r w:rsidRPr="00664FD3">
        <w:rPr>
          <w:rFonts w:ascii="Calibri" w:eastAsia="Times New Roman" w:hAnsi="Calibri" w:cs="Calibri"/>
          <w:color w:val="000000"/>
          <w:sz w:val="20"/>
          <w:szCs w:val="20"/>
          <w:lang w:val="en-US"/>
        </w:rPr>
        <w:t>Wodak</w:t>
      </w:r>
      <w:proofErr w:type="spellEnd"/>
      <w:r w:rsidRPr="00664FD3">
        <w:rPr>
          <w:rFonts w:ascii="Calibri" w:eastAsia="Times New Roman" w:hAnsi="Calibri" w:cs="Calibri"/>
          <w:color w:val="000000"/>
          <w:sz w:val="20"/>
          <w:szCs w:val="20"/>
          <w:lang w:val="en-US"/>
        </w:rPr>
        <w:t xml:space="preserve">, “A useful methodological synergy? Combining critical discourse analysis and corpus linguistics to examine discourses of refugees and asylum seekers in the UK press,” </w:t>
      </w:r>
      <w:r w:rsidRPr="00664FD3">
        <w:rPr>
          <w:rFonts w:ascii="Calibri" w:eastAsia="Times New Roman" w:hAnsi="Calibri" w:cs="Calibri"/>
          <w:i/>
          <w:iCs/>
          <w:color w:val="000000"/>
          <w:sz w:val="20"/>
          <w:szCs w:val="20"/>
          <w:lang w:val="en-US"/>
        </w:rPr>
        <w:t>Discourse &amp; Society</w:t>
      </w:r>
      <w:r w:rsidRPr="00664FD3">
        <w:rPr>
          <w:rFonts w:ascii="Calibri" w:eastAsia="Times New Roman" w:hAnsi="Calibri" w:cs="Calibri"/>
          <w:color w:val="000000"/>
          <w:sz w:val="20"/>
          <w:szCs w:val="20"/>
          <w:lang w:val="en-US"/>
        </w:rPr>
        <w:t xml:space="preserve">, vol. 19, no. 3, pp. 273–306, 2008,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3" w:history="1">
        <w:r w:rsidRPr="00664FD3">
          <w:rPr>
            <w:rFonts w:ascii="Calibri" w:eastAsia="Times New Roman" w:hAnsi="Calibri" w:cs="Calibri"/>
            <w:color w:val="0563C1"/>
            <w:sz w:val="20"/>
            <w:szCs w:val="20"/>
            <w:u w:val="single"/>
            <w:lang w:val="en-US"/>
          </w:rPr>
          <w:t>10.1177/0957926508088962</w:t>
        </w:r>
      </w:hyperlink>
      <w:r w:rsidRPr="00664FD3">
        <w:rPr>
          <w:rFonts w:ascii="Calibri" w:eastAsia="Times New Roman" w:hAnsi="Calibri" w:cs="Calibri"/>
          <w:color w:val="000000"/>
          <w:sz w:val="20"/>
          <w:szCs w:val="20"/>
          <w:lang w:val="en-US"/>
        </w:rPr>
        <w:t>.</w:t>
      </w:r>
      <w:r w:rsidRPr="00664FD3">
        <w:rPr>
          <w:rFonts w:ascii="Calibri" w:eastAsia="Times New Roman" w:hAnsi="Calibri" w:cs="Calibri"/>
          <w:color w:val="000000"/>
          <w:sz w:val="20"/>
          <w:szCs w:val="20"/>
          <w:lang w:val="en-US"/>
        </w:rPr>
        <w:br/>
      </w:r>
    </w:p>
    <w:p w14:paraId="3A75CD4C" w14:textId="5451AEA8" w:rsidR="00564872" w:rsidRPr="00664FD3" w:rsidRDefault="00564872" w:rsidP="00564872">
      <w:pPr>
        <w:spacing w:after="60"/>
        <w:rPr>
          <w:rFonts w:ascii="Calibri" w:eastAsia="Times New Roman" w:hAnsi="Calibri" w:cs="Calibri"/>
          <w:color w:val="000000"/>
          <w:sz w:val="20"/>
          <w:szCs w:val="20"/>
          <w:lang w:val="en-US"/>
        </w:rPr>
      </w:pPr>
      <w:r w:rsidRPr="00664FD3">
        <w:rPr>
          <w:rFonts w:ascii="Calibri" w:eastAsia="Times New Roman" w:hAnsi="Calibri" w:cs="Calibri"/>
          <w:color w:val="000000"/>
          <w:sz w:val="20"/>
          <w:szCs w:val="20"/>
          <w:lang w:val="en-US"/>
        </w:rPr>
        <w:t xml:space="preserve">[11] J. Cohen, “A coefficient of agreement for nominal scales,” </w:t>
      </w:r>
      <w:r w:rsidRPr="00664FD3">
        <w:rPr>
          <w:rFonts w:ascii="Calibri" w:eastAsia="Times New Roman" w:hAnsi="Calibri" w:cs="Calibri"/>
          <w:i/>
          <w:iCs/>
          <w:color w:val="000000"/>
          <w:sz w:val="20"/>
          <w:szCs w:val="20"/>
          <w:lang w:val="en-US"/>
        </w:rPr>
        <w:t>Educational and Psychological Measurement</w:t>
      </w:r>
      <w:r w:rsidRPr="00664FD3">
        <w:rPr>
          <w:rFonts w:ascii="Calibri" w:eastAsia="Times New Roman" w:hAnsi="Calibri" w:cs="Calibri"/>
          <w:color w:val="000000"/>
          <w:sz w:val="20"/>
          <w:szCs w:val="20"/>
          <w:lang w:val="en-US"/>
        </w:rPr>
        <w:t xml:space="preserve">, vol. 20, no. 1, pp. 37–46, 1960,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4" w:history="1">
        <w:r w:rsidRPr="00664FD3">
          <w:rPr>
            <w:rFonts w:ascii="Calibri" w:eastAsia="Times New Roman" w:hAnsi="Calibri" w:cs="Calibri"/>
            <w:color w:val="0563C1"/>
            <w:sz w:val="20"/>
            <w:szCs w:val="20"/>
            <w:u w:val="single"/>
            <w:lang w:val="en-US"/>
          </w:rPr>
          <w:t>10.1177/001316446002000104</w:t>
        </w:r>
      </w:hyperlink>
      <w:r w:rsidRPr="00664FD3">
        <w:rPr>
          <w:rFonts w:ascii="Calibri" w:eastAsia="Times New Roman" w:hAnsi="Calibri" w:cs="Calibri"/>
          <w:color w:val="000000"/>
          <w:sz w:val="20"/>
          <w:szCs w:val="20"/>
          <w:lang w:val="en-US"/>
        </w:rPr>
        <w:t>.</w:t>
      </w:r>
    </w:p>
    <w:p w14:paraId="6FE1AF89" w14:textId="77777777" w:rsidR="00564872" w:rsidRPr="00664FD3" w:rsidRDefault="00564872" w:rsidP="00564872">
      <w:pPr>
        <w:spacing w:after="60"/>
        <w:rPr>
          <w:rFonts w:ascii="Calibri" w:eastAsia="Times New Roman" w:hAnsi="Calibri" w:cs="Calibri"/>
          <w:color w:val="000000"/>
          <w:sz w:val="20"/>
          <w:szCs w:val="20"/>
          <w:lang w:val="en-US"/>
        </w:rPr>
      </w:pPr>
    </w:p>
    <w:p w14:paraId="04B4E5F5" w14:textId="75FB0935" w:rsidR="00564872" w:rsidRPr="00664FD3" w:rsidRDefault="00564872" w:rsidP="00564872">
      <w:pPr>
        <w:spacing w:after="60"/>
        <w:rPr>
          <w:rFonts w:ascii="Calibri" w:eastAsia="Times New Roman" w:hAnsi="Calibri" w:cs="Calibri"/>
          <w:sz w:val="24"/>
          <w:szCs w:val="24"/>
          <w:lang w:val="en-US"/>
        </w:rPr>
      </w:pPr>
      <w:r w:rsidRPr="00664FD3">
        <w:rPr>
          <w:rFonts w:ascii="Calibri" w:eastAsia="Times New Roman" w:hAnsi="Calibri" w:cs="Calibri"/>
          <w:color w:val="000000"/>
          <w:sz w:val="20"/>
          <w:szCs w:val="20"/>
          <w:lang w:val="en-US"/>
        </w:rPr>
        <w:lastRenderedPageBreak/>
        <w:t xml:space="preserve">[12] M. J. Page </w:t>
      </w:r>
      <w:r w:rsidRPr="00664FD3">
        <w:rPr>
          <w:rFonts w:ascii="Calibri" w:eastAsia="Times New Roman" w:hAnsi="Calibri" w:cs="Calibri"/>
          <w:i/>
          <w:iCs/>
          <w:color w:val="000000"/>
          <w:sz w:val="20"/>
          <w:szCs w:val="20"/>
          <w:lang w:val="en-US"/>
        </w:rPr>
        <w:t>et al.</w:t>
      </w:r>
      <w:r w:rsidRPr="00664FD3">
        <w:rPr>
          <w:rFonts w:ascii="Calibri" w:eastAsia="Times New Roman" w:hAnsi="Calibri" w:cs="Calibri"/>
          <w:color w:val="000000"/>
          <w:sz w:val="20"/>
          <w:szCs w:val="20"/>
          <w:lang w:val="en-US"/>
        </w:rPr>
        <w:t xml:space="preserve">, “The PRISMA 2020 statement: An updated guideline for reporting systematic reviews,” </w:t>
      </w:r>
      <w:r w:rsidRPr="00664FD3">
        <w:rPr>
          <w:rFonts w:ascii="Calibri" w:eastAsia="Times New Roman" w:hAnsi="Calibri" w:cs="Calibri"/>
          <w:i/>
          <w:iCs/>
          <w:color w:val="000000"/>
          <w:sz w:val="20"/>
          <w:szCs w:val="20"/>
          <w:lang w:val="en-US"/>
        </w:rPr>
        <w:t>BMJ</w:t>
      </w:r>
      <w:r w:rsidRPr="00664FD3">
        <w:rPr>
          <w:rFonts w:ascii="Calibri" w:eastAsia="Times New Roman" w:hAnsi="Calibri" w:cs="Calibri"/>
          <w:color w:val="000000"/>
          <w:sz w:val="20"/>
          <w:szCs w:val="20"/>
          <w:lang w:val="en-US"/>
        </w:rPr>
        <w:t xml:space="preserve">, vol. 372, Art. no. n71, 2021, </w:t>
      </w:r>
      <w:proofErr w:type="spellStart"/>
      <w:r w:rsidRPr="00664FD3">
        <w:rPr>
          <w:rFonts w:ascii="Calibri" w:eastAsia="Times New Roman" w:hAnsi="Calibri" w:cs="Calibri"/>
          <w:color w:val="000000"/>
          <w:sz w:val="20"/>
          <w:szCs w:val="20"/>
          <w:lang w:val="en-US"/>
        </w:rPr>
        <w:t>doi</w:t>
      </w:r>
      <w:proofErr w:type="spellEnd"/>
      <w:r w:rsidRPr="00664FD3">
        <w:rPr>
          <w:rFonts w:ascii="Calibri" w:eastAsia="Times New Roman" w:hAnsi="Calibri" w:cs="Calibri"/>
          <w:color w:val="000000"/>
          <w:sz w:val="20"/>
          <w:szCs w:val="20"/>
          <w:lang w:val="en-US"/>
        </w:rPr>
        <w:t xml:space="preserve">: </w:t>
      </w:r>
      <w:hyperlink r:id="rId15" w:history="1">
        <w:r w:rsidRPr="00664FD3">
          <w:rPr>
            <w:rFonts w:ascii="Calibri" w:eastAsia="Times New Roman" w:hAnsi="Calibri" w:cs="Calibri"/>
            <w:color w:val="0563C1"/>
            <w:sz w:val="20"/>
            <w:szCs w:val="20"/>
            <w:u w:val="single"/>
            <w:lang w:val="en-US"/>
          </w:rPr>
          <w:t>10.1136/bmj.n71</w:t>
        </w:r>
      </w:hyperlink>
      <w:r w:rsidRPr="00664FD3">
        <w:rPr>
          <w:rFonts w:ascii="Calibri" w:eastAsia="Times New Roman" w:hAnsi="Calibri" w:cs="Calibri"/>
          <w:color w:val="000000"/>
          <w:sz w:val="20"/>
          <w:szCs w:val="20"/>
          <w:lang w:val="en-US"/>
        </w:rPr>
        <w:t>.</w:t>
      </w:r>
    </w:p>
    <w:p w14:paraId="053B44C3" w14:textId="21A4DD97" w:rsidR="006D018F" w:rsidRPr="00664FD3" w:rsidRDefault="006D018F" w:rsidP="00564872">
      <w:pPr>
        <w:spacing w:after="60"/>
        <w:ind w:left="500" w:hanging="500"/>
        <w:rPr>
          <w:rFonts w:ascii="Calibri" w:hAnsi="Calibri" w:cs="Calibri"/>
        </w:rPr>
      </w:pPr>
    </w:p>
    <w:sectPr w:rsidR="006D018F" w:rsidRPr="00664FD3">
      <w:foot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740E0" w14:textId="77777777" w:rsidR="00D47E8C" w:rsidRDefault="00D47E8C">
      <w:pPr>
        <w:spacing w:line="240" w:lineRule="auto"/>
      </w:pPr>
      <w:r>
        <w:separator/>
      </w:r>
    </w:p>
  </w:endnote>
  <w:endnote w:type="continuationSeparator" w:id="0">
    <w:p w14:paraId="2FE85B24" w14:textId="77777777" w:rsidR="00D47E8C" w:rsidRDefault="00D47E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E7B38AC-511B-4A16-84F2-28106A4B701D}"/>
    <w:embedBold r:id="rId2" w:fontKey="{21381E67-701D-4773-AE21-26BDCE4BC06F}"/>
    <w:embedItalic r:id="rId3" w:fontKey="{075C1760-0EC4-4721-A841-1A38D04A07EA}"/>
    <w:embedBoldItalic r:id="rId4" w:fontKey="{4363C595-2565-4763-8365-1DBB0A3098A0}"/>
  </w:font>
  <w:font w:name="Arial Unicode MS">
    <w:panose1 w:val="020B0604020202020204"/>
    <w:charset w:val="00"/>
    <w:family w:val="auto"/>
    <w:pitch w:val="default"/>
  </w:font>
  <w:font w:name="Open Sans">
    <w:charset w:val="00"/>
    <w:family w:val="swiss"/>
    <w:pitch w:val="variable"/>
    <w:sig w:usb0="E00002EF" w:usb1="4000205B" w:usb2="00000028" w:usb3="00000000" w:csb0="0000019F" w:csb1="00000000"/>
    <w:embedBold r:id="rId5" w:fontKey="{688ED73F-A85B-4ADF-9A42-3AB726AB7955}"/>
  </w:font>
  <w:font w:name="Cambria">
    <w:panose1 w:val="02040503050406030204"/>
    <w:charset w:val="00"/>
    <w:family w:val="roman"/>
    <w:pitch w:val="variable"/>
    <w:sig w:usb0="E00006FF" w:usb1="420024FF" w:usb2="02000000" w:usb3="00000000" w:csb0="0000019F" w:csb1="00000000"/>
    <w:embedRegular r:id="rId6" w:fontKey="{858E283B-C0FC-4601-9682-C8498B8F27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543A0" w14:textId="77777777" w:rsidR="006D018F" w:rsidRDefault="00000000">
    <w:r>
      <w:rPr>
        <w:rFonts w:ascii="Open Sans" w:eastAsia="Open Sans" w:hAnsi="Open Sans" w:cs="Open Sans"/>
        <w:b/>
        <w:bCs/>
        <w:color w:val="D51F54"/>
        <w:sz w:val="16"/>
        <w:szCs w:val="16"/>
      </w:rPr>
      <w:t>SGS Initiative, VOL. 1 NO. 12 (2026): LGPR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0FE7" w14:textId="77777777" w:rsidR="00D47E8C" w:rsidRDefault="00D47E8C">
      <w:pPr>
        <w:spacing w:line="240" w:lineRule="auto"/>
      </w:pPr>
      <w:r>
        <w:separator/>
      </w:r>
    </w:p>
  </w:footnote>
  <w:footnote w:type="continuationSeparator" w:id="0">
    <w:p w14:paraId="1B67A3B6" w14:textId="77777777" w:rsidR="00D47E8C" w:rsidRDefault="00D47E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18F"/>
    <w:rsid w:val="00070AAB"/>
    <w:rsid w:val="00181D52"/>
    <w:rsid w:val="00395DEA"/>
    <w:rsid w:val="00564872"/>
    <w:rsid w:val="00664FD3"/>
    <w:rsid w:val="006A5A22"/>
    <w:rsid w:val="006D018F"/>
    <w:rsid w:val="00BC5609"/>
    <w:rsid w:val="00D47E8C"/>
    <w:rsid w:val="00D70586"/>
    <w:rsid w:val="00EC2DC1"/>
    <w:rsid w:val="00E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5BAB"/>
  <w15:docId w15:val="{8AC63621-B716-4690-BB44-44624A33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EC2DC1"/>
    <w:rPr>
      <w:color w:val="0000FF" w:themeColor="hyperlink"/>
      <w:u w:val="single"/>
    </w:rPr>
  </w:style>
  <w:style w:type="character" w:styleId="UnresolvedMention">
    <w:name w:val="Unresolved Mention"/>
    <w:basedOn w:val="DefaultParagraphFont"/>
    <w:uiPriority w:val="99"/>
    <w:semiHidden/>
    <w:unhideWhenUsed/>
    <w:rsid w:val="00EC2DC1"/>
    <w:rPr>
      <w:color w:val="605E5C"/>
      <w:shd w:val="clear" w:color="auto" w:fill="E1DFDD"/>
    </w:rPr>
  </w:style>
  <w:style w:type="paragraph" w:styleId="Header">
    <w:name w:val="header"/>
    <w:basedOn w:val="Normal"/>
    <w:link w:val="HeaderChar"/>
    <w:uiPriority w:val="99"/>
    <w:unhideWhenUsed/>
    <w:rsid w:val="00EC2DC1"/>
    <w:pPr>
      <w:tabs>
        <w:tab w:val="center" w:pos="4680"/>
        <w:tab w:val="right" w:pos="9360"/>
      </w:tabs>
      <w:spacing w:line="240" w:lineRule="auto"/>
    </w:pPr>
  </w:style>
  <w:style w:type="character" w:customStyle="1" w:styleId="HeaderChar">
    <w:name w:val="Header Char"/>
    <w:basedOn w:val="DefaultParagraphFont"/>
    <w:link w:val="Header"/>
    <w:uiPriority w:val="99"/>
    <w:rsid w:val="00EC2DC1"/>
  </w:style>
  <w:style w:type="paragraph" w:styleId="Footer">
    <w:name w:val="footer"/>
    <w:basedOn w:val="Normal"/>
    <w:link w:val="FooterChar"/>
    <w:uiPriority w:val="99"/>
    <w:unhideWhenUsed/>
    <w:rsid w:val="00EC2DC1"/>
    <w:pPr>
      <w:tabs>
        <w:tab w:val="center" w:pos="4680"/>
        <w:tab w:val="right" w:pos="9360"/>
      </w:tabs>
      <w:spacing w:line="240" w:lineRule="auto"/>
    </w:pPr>
  </w:style>
  <w:style w:type="character" w:customStyle="1" w:styleId="FooterChar">
    <w:name w:val="Footer Char"/>
    <w:basedOn w:val="DefaultParagraphFont"/>
    <w:link w:val="Footer"/>
    <w:uiPriority w:val="99"/>
    <w:rsid w:val="00EC2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ata.unhcr.org/en/country/bgd/591" TargetMode="External"/><Relationship Id="rId13" Type="http://schemas.openxmlformats.org/officeDocument/2006/relationships/hyperlink" Target="https://doi.org/10.1177/095792650808896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azarsorrayaie@um.edu.my" TargetMode="External"/><Relationship Id="rId12" Type="http://schemas.openxmlformats.org/officeDocument/2006/relationships/hyperlink" Target="https://doi.org/10.1080/17405904.2013.84578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pdf.Ehatasham@lincoln.edu.my" TargetMode="External"/><Relationship Id="rId11" Type="http://schemas.openxmlformats.org/officeDocument/2006/relationships/hyperlink" Target="https://doi.org/10.1016/j.langsci.2013.08.011" TargetMode="External"/><Relationship Id="rId5" Type="http://schemas.openxmlformats.org/officeDocument/2006/relationships/endnotes" Target="endnotes.xml"/><Relationship Id="rId15" Type="http://schemas.openxmlformats.org/officeDocument/2006/relationships/hyperlink" Target="https://doi.org/10.1136/bmj.n71" TargetMode="External"/><Relationship Id="rId10" Type="http://schemas.openxmlformats.org/officeDocument/2006/relationships/hyperlink" Target="https://doi.org/10.1080/19475705.2020.1730988" TargetMode="External"/><Relationship Id="rId4" Type="http://schemas.openxmlformats.org/officeDocument/2006/relationships/footnotes" Target="footnotes.xml"/><Relationship Id="rId9" Type="http://schemas.openxmlformats.org/officeDocument/2006/relationships/hyperlink" Target="https://doi.org/10.3390/rs10050689" TargetMode="External"/><Relationship Id="rId14" Type="http://schemas.openxmlformats.org/officeDocument/2006/relationships/hyperlink" Target="https://doi.org/10.1177/00131644600200010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2367</Words>
  <Characters>13494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Sushant Josyula</dc:creator>
  <cp:lastModifiedBy>Sushant Josyula</cp:lastModifiedBy>
  <cp:revision>2</cp:revision>
  <dcterms:created xsi:type="dcterms:W3CDTF">2026-10-04T01:24:00Z</dcterms:created>
  <dcterms:modified xsi:type="dcterms:W3CDTF">2026-10-04T01:24:00Z</dcterms:modified>
</cp:coreProperties>
</file>