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31F4" w14:textId="1703A93A" w:rsidR="00397132" w:rsidRDefault="00397132" w:rsidP="00397132">
      <w:pPr>
        <w:pBdr>
          <w:top w:val="nil"/>
          <w:left w:val="nil"/>
          <w:bottom w:val="nil"/>
          <w:right w:val="nil"/>
          <w:between w:val="nil"/>
        </w:pBdr>
        <w:jc w:val="center"/>
        <w:rPr>
          <w:rFonts w:ascii="Calibri" w:eastAsia="Calibri" w:hAnsi="Calibri" w:cs="Calibri"/>
          <w:b/>
          <w:color w:val="000000"/>
          <w:sz w:val="28"/>
          <w:szCs w:val="28"/>
        </w:rPr>
      </w:pPr>
      <w:r w:rsidRPr="00397132">
        <w:rPr>
          <w:rFonts w:ascii="Calibri" w:eastAsia="Calibri" w:hAnsi="Calibri" w:cs="Calibri"/>
          <w:b/>
          <w:color w:val="000000"/>
          <w:sz w:val="28"/>
          <w:szCs w:val="28"/>
        </w:rPr>
        <w:t xml:space="preserve">Evaluating the Effectiveness of mHealth Applications for Diabetes Management Using Machine </w:t>
      </w:r>
      <w:r>
        <w:rPr>
          <w:rFonts w:ascii="Calibri" w:eastAsia="Calibri" w:hAnsi="Calibri" w:cs="Calibri"/>
          <w:b/>
          <w:color w:val="000000"/>
          <w:sz w:val="28"/>
          <w:szCs w:val="28"/>
        </w:rPr>
        <w:t>Learning</w:t>
      </w:r>
    </w:p>
    <w:p w14:paraId="27252E83" w14:textId="3C88CEB5" w:rsidR="00BC293A" w:rsidRDefault="00397132" w:rsidP="00397132">
      <w:pPr>
        <w:pBdr>
          <w:top w:val="nil"/>
          <w:left w:val="nil"/>
          <w:bottom w:val="nil"/>
          <w:right w:val="nil"/>
          <w:between w:val="nil"/>
        </w:pBdr>
        <w:jc w:val="center"/>
        <w:rPr>
          <w:rFonts w:ascii="Calibri" w:eastAsia="Calibri" w:hAnsi="Calibri" w:cs="Calibri"/>
          <w:i/>
          <w:color w:val="000000"/>
        </w:rPr>
      </w:pPr>
      <w:r w:rsidRPr="00397132">
        <w:rPr>
          <w:rFonts w:ascii="Calibri" w:eastAsia="Calibri" w:hAnsi="Calibri" w:cs="Calibri"/>
          <w:i/>
          <w:color w:val="000000"/>
        </w:rPr>
        <w:t>Dr. Santhoshkumar Sundar¹, Dr. S.K. Manju Bargavi²</w:t>
      </w:r>
      <w:r>
        <w:rPr>
          <w:rFonts w:ascii="Calibri" w:eastAsia="Calibri" w:hAnsi="Calibri" w:cs="Calibri"/>
          <w:i/>
          <w:color w:val="000000"/>
        </w:rPr>
        <w:t xml:space="preserve"> </w:t>
      </w:r>
    </w:p>
    <w:p w14:paraId="24D0695B" w14:textId="2438CA2B" w:rsidR="00397132" w:rsidRPr="00397132" w:rsidRDefault="00397132" w:rsidP="002D140E">
      <w:pPr>
        <w:ind w:left="284" w:hanging="284"/>
        <w:jc w:val="both"/>
        <w:rPr>
          <w:rFonts w:ascii="Calibri" w:eastAsia="Calibri" w:hAnsi="Calibri" w:cs="Calibri"/>
        </w:rPr>
      </w:pPr>
      <w:r w:rsidRPr="00397132">
        <w:rPr>
          <w:rFonts w:ascii="Calibri" w:eastAsia="Calibri" w:hAnsi="Calibri" w:cs="Calibri"/>
        </w:rPr>
        <w:t>¹ Post-Doctoral Research Scholar, Lincoln University College, Malaysia &amp; Assistant Professor, Department of Computer Science, Alagappa University, India</w:t>
      </w:r>
    </w:p>
    <w:p w14:paraId="587619AD" w14:textId="7C0D0547" w:rsidR="00BC293A" w:rsidRDefault="00397132" w:rsidP="002D140E">
      <w:pPr>
        <w:ind w:left="284" w:hanging="284"/>
        <w:jc w:val="both"/>
        <w:rPr>
          <w:rFonts w:ascii="Calibri" w:eastAsia="Calibri" w:hAnsi="Calibri" w:cs="Calibri"/>
        </w:rPr>
      </w:pPr>
      <w:r w:rsidRPr="00397132">
        <w:rPr>
          <w:rFonts w:ascii="Calibri" w:eastAsia="Calibri" w:hAnsi="Calibri" w:cs="Calibri"/>
        </w:rPr>
        <w:t>² Professor, School of Computer Science and IT, Jain (Deemed-to-be University), Bangalore</w:t>
      </w:r>
    </w:p>
    <w:p w14:paraId="45C3E3A1" w14:textId="207BF9DE" w:rsidR="00BC293A" w:rsidRDefault="00397132" w:rsidP="002D140E">
      <w:pPr>
        <w:ind w:left="284" w:hanging="284"/>
        <w:jc w:val="both"/>
        <w:rPr>
          <w:rFonts w:ascii="Calibri" w:eastAsia="Calibri" w:hAnsi="Calibri" w:cs="Calibri"/>
        </w:rPr>
      </w:pPr>
      <w:hyperlink r:id="rId8" w:tgtFrame="_blank" w:history="1">
        <w:r w:rsidRPr="00397132">
          <w:rPr>
            <w:rStyle w:val="Hyperlink"/>
            <w:rFonts w:ascii="Calibri" w:eastAsia="Calibri" w:hAnsi="Calibri" w:cs="Calibri"/>
          </w:rPr>
          <w:t>pdf.santhoshkumar@lincoln.edu.my</w:t>
        </w:r>
      </w:hyperlink>
      <w:r>
        <w:rPr>
          <w:rFonts w:ascii="Calibri" w:eastAsia="Calibri" w:hAnsi="Calibri" w:cs="Calibri"/>
        </w:rPr>
        <w:t xml:space="preserve">, </w:t>
      </w:r>
      <w:hyperlink r:id="rId9" w:history="1">
        <w:r w:rsidRPr="004C64B0">
          <w:rPr>
            <w:rStyle w:val="Hyperlink"/>
            <w:rFonts w:ascii="Calibri" w:eastAsia="Calibri" w:hAnsi="Calibri" w:cs="Calibri"/>
          </w:rPr>
          <w:t>santhoshkumars@alagappauniversity.ac.in</w:t>
        </w:r>
      </w:hyperlink>
      <w:r>
        <w:rPr>
          <w:rFonts w:ascii="Calibri" w:eastAsia="Calibri" w:hAnsi="Calibri" w:cs="Calibri"/>
        </w:rPr>
        <w:t>,</w:t>
      </w:r>
    </w:p>
    <w:p w14:paraId="72E15EB0" w14:textId="1B374D79" w:rsidR="00397132" w:rsidRDefault="00397132" w:rsidP="002D140E">
      <w:pPr>
        <w:ind w:left="284" w:hanging="284"/>
        <w:jc w:val="both"/>
        <w:rPr>
          <w:rFonts w:ascii="Calibri" w:eastAsia="Calibri" w:hAnsi="Calibri" w:cs="Calibri"/>
        </w:rPr>
      </w:pPr>
      <w:r w:rsidRPr="00397132">
        <w:rPr>
          <w:rFonts w:ascii="Calibri" w:eastAsia="Calibri" w:hAnsi="Calibri" w:cs="Calibri"/>
        </w:rPr>
        <w:t xml:space="preserve">cloudbargavi@gmail.com </w:t>
      </w:r>
    </w:p>
    <w:p w14:paraId="3744D279" w14:textId="77777777" w:rsidR="00BC293A" w:rsidRDefault="00000000">
      <w:pPr>
        <w:jc w:val="both"/>
        <w:rPr>
          <w:rFonts w:ascii="Calibri" w:eastAsia="Calibri" w:hAnsi="Calibri" w:cs="Calibri"/>
          <w:b/>
        </w:rPr>
      </w:pPr>
      <w:r>
        <w:pict w14:anchorId="691C24E9">
          <v:rect id="_x0000_i1025" style="width:0;height:1.5pt" o:hralign="center" o:hrstd="t" o:hr="t" fillcolor="#a0a0a0" stroked="f"/>
        </w:pict>
      </w:r>
    </w:p>
    <w:p w14:paraId="664B3B87" w14:textId="77777777" w:rsidR="00BC293A" w:rsidRDefault="00BC293A">
      <w:pPr>
        <w:jc w:val="both"/>
        <w:rPr>
          <w:rFonts w:ascii="Calibri" w:eastAsia="Calibri" w:hAnsi="Calibri" w:cs="Calibri"/>
          <w:b/>
        </w:rPr>
      </w:pPr>
    </w:p>
    <w:p w14:paraId="44FB4B06" w14:textId="4BAAD106" w:rsidR="00BC293A" w:rsidRDefault="00000000" w:rsidP="00397132">
      <w:pPr>
        <w:pBdr>
          <w:top w:val="nil"/>
          <w:left w:val="nil"/>
          <w:bottom w:val="nil"/>
          <w:right w:val="nil"/>
          <w:between w:val="nil"/>
        </w:pBdr>
        <w:jc w:val="both"/>
        <w:rPr>
          <w:rFonts w:ascii="Calibri" w:eastAsia="Calibri" w:hAnsi="Calibri" w:cs="Calibri"/>
        </w:rPr>
      </w:pPr>
      <w:r>
        <w:rPr>
          <w:rFonts w:ascii="Calibri" w:eastAsia="Calibri" w:hAnsi="Calibri" w:cs="Calibri"/>
          <w:b/>
          <w:color w:val="000000"/>
        </w:rPr>
        <w:t xml:space="preserve">Abstract: </w:t>
      </w:r>
      <w:r w:rsidR="00397132" w:rsidRPr="00397132">
        <w:rPr>
          <w:rFonts w:ascii="Calibri" w:eastAsia="Calibri" w:hAnsi="Calibri" w:cs="Calibri"/>
          <w:color w:val="000000"/>
        </w:rPr>
        <w:t xml:space="preserve">The rapid increase in diabetes prevalence worldwide demands innovative and technology-driven management solutions. Mobile health (mHealth) applications have emerged as effective tools enabling patients to monitor glucose levels, manage lifestyle habits, and improve treatment adherence. This study evaluates the effectiveness of mHealth applications for diabetes management using machine learning techniques. Multiple factors such as user engagement, clinical outcomes, usability, and </w:t>
      </w:r>
      <w:proofErr w:type="spellStart"/>
      <w:r w:rsidR="00397132" w:rsidRPr="00397132">
        <w:rPr>
          <w:rFonts w:ascii="Calibri" w:eastAsia="Calibri" w:hAnsi="Calibri" w:cs="Calibri"/>
          <w:color w:val="000000"/>
        </w:rPr>
        <w:t>behavioural</w:t>
      </w:r>
      <w:proofErr w:type="spellEnd"/>
      <w:r w:rsidR="00397132" w:rsidRPr="00397132">
        <w:rPr>
          <w:rFonts w:ascii="Calibri" w:eastAsia="Calibri" w:hAnsi="Calibri" w:cs="Calibri"/>
          <w:color w:val="000000"/>
        </w:rPr>
        <w:t xml:space="preserve"> patterns are </w:t>
      </w:r>
      <w:proofErr w:type="spellStart"/>
      <w:r w:rsidR="00397132" w:rsidRPr="00397132">
        <w:rPr>
          <w:rFonts w:ascii="Calibri" w:eastAsia="Calibri" w:hAnsi="Calibri" w:cs="Calibri"/>
          <w:color w:val="000000"/>
        </w:rPr>
        <w:t>analysed</w:t>
      </w:r>
      <w:proofErr w:type="spellEnd"/>
      <w:r w:rsidR="00397132" w:rsidRPr="00397132">
        <w:rPr>
          <w:rFonts w:ascii="Calibri" w:eastAsia="Calibri" w:hAnsi="Calibri" w:cs="Calibri"/>
          <w:color w:val="000000"/>
        </w:rPr>
        <w:t xml:space="preserve"> using Sequential Graph Collaborative Filtering (SGCF), Extreme Gradient Boosting (</w:t>
      </w:r>
      <w:proofErr w:type="spellStart"/>
      <w:r w:rsidR="00397132" w:rsidRPr="00397132">
        <w:rPr>
          <w:rFonts w:ascii="Calibri" w:eastAsia="Calibri" w:hAnsi="Calibri" w:cs="Calibri"/>
          <w:color w:val="000000"/>
        </w:rPr>
        <w:t>XGBoost</w:t>
      </w:r>
      <w:proofErr w:type="spellEnd"/>
      <w:r w:rsidR="00397132" w:rsidRPr="00397132">
        <w:rPr>
          <w:rFonts w:ascii="Calibri" w:eastAsia="Calibri" w:hAnsi="Calibri" w:cs="Calibri"/>
          <w:color w:val="000000"/>
        </w:rPr>
        <w:t xml:space="preserve">), and Linear Support Vector Classifier (Linear SVC). The proposed framework integrates heterogeneous health and </w:t>
      </w:r>
      <w:proofErr w:type="spellStart"/>
      <w:r w:rsidR="00397132" w:rsidRPr="00397132">
        <w:rPr>
          <w:rFonts w:ascii="Calibri" w:eastAsia="Calibri" w:hAnsi="Calibri" w:cs="Calibri"/>
          <w:color w:val="000000"/>
        </w:rPr>
        <w:t>behavioural</w:t>
      </w:r>
      <w:proofErr w:type="spellEnd"/>
      <w:r w:rsidR="00397132" w:rsidRPr="00397132">
        <w:rPr>
          <w:rFonts w:ascii="Calibri" w:eastAsia="Calibri" w:hAnsi="Calibri" w:cs="Calibri"/>
          <w:color w:val="000000"/>
        </w:rPr>
        <w:t xml:space="preserve"> datasets to identify patterns influencing diabetes outcomes. Experimental results demonstrate that the proposed method achieves 97.5% accuracy, outperforming Autoencoder (86.3%) and SVM (92.2%). The findings highlight the potential of machine learning–enabled mHealth systems to provide personalized healthcare recommendations and improve long-term diabetes management outcomes.</w:t>
      </w:r>
    </w:p>
    <w:p w14:paraId="46554AAF" w14:textId="77777777" w:rsidR="00397132" w:rsidRDefault="00000000">
      <w:pPr>
        <w:jc w:val="both"/>
        <w:rPr>
          <w:rFonts w:ascii="Calibri" w:eastAsia="Calibri" w:hAnsi="Calibri" w:cs="Calibri"/>
        </w:rPr>
      </w:pPr>
      <w:r>
        <w:rPr>
          <w:rFonts w:ascii="Calibri" w:eastAsia="Calibri" w:hAnsi="Calibri" w:cs="Calibri"/>
          <w:b/>
        </w:rPr>
        <w:t>Keywords</w:t>
      </w:r>
      <w:r>
        <w:rPr>
          <w:rFonts w:ascii="Calibri" w:eastAsia="Calibri" w:hAnsi="Calibri" w:cs="Calibri"/>
        </w:rPr>
        <w:t xml:space="preserve">: </w:t>
      </w:r>
      <w:r w:rsidR="00397132" w:rsidRPr="00397132">
        <w:rPr>
          <w:rFonts w:ascii="Calibri" w:eastAsia="Calibri" w:hAnsi="Calibri" w:cs="Calibri"/>
        </w:rPr>
        <w:t xml:space="preserve">Diabetes Management, mHealth Applications, Machine Learning, SGCF, </w:t>
      </w:r>
      <w:proofErr w:type="spellStart"/>
      <w:r w:rsidR="00397132" w:rsidRPr="00397132">
        <w:rPr>
          <w:rFonts w:ascii="Calibri" w:eastAsia="Calibri" w:hAnsi="Calibri" w:cs="Calibri"/>
        </w:rPr>
        <w:t>XGBoost</w:t>
      </w:r>
      <w:proofErr w:type="spellEnd"/>
      <w:r w:rsidR="00397132" w:rsidRPr="00397132">
        <w:rPr>
          <w:rFonts w:ascii="Calibri" w:eastAsia="Calibri" w:hAnsi="Calibri" w:cs="Calibri"/>
        </w:rPr>
        <w:t xml:space="preserve">, Linear SVC, </w:t>
      </w:r>
      <w:r w:rsidR="00397132">
        <w:rPr>
          <w:rFonts w:ascii="Calibri" w:eastAsia="Calibri" w:hAnsi="Calibri" w:cs="Calibri"/>
        </w:rPr>
        <w:t xml:space="preserve">   </w:t>
      </w:r>
    </w:p>
    <w:p w14:paraId="204A1CB2" w14:textId="38152826" w:rsidR="00BC293A" w:rsidRDefault="00397132">
      <w:pPr>
        <w:jc w:val="both"/>
        <w:rPr>
          <w:rFonts w:ascii="Calibri" w:eastAsia="Calibri" w:hAnsi="Calibri" w:cs="Calibri"/>
        </w:rPr>
      </w:pPr>
      <w:r>
        <w:rPr>
          <w:rFonts w:ascii="Calibri" w:eastAsia="Calibri" w:hAnsi="Calibri" w:cs="Calibri"/>
        </w:rPr>
        <w:t xml:space="preserve">                     </w:t>
      </w:r>
      <w:r w:rsidRPr="00397132">
        <w:rPr>
          <w:rFonts w:ascii="Calibri" w:eastAsia="Calibri" w:hAnsi="Calibri" w:cs="Calibri"/>
        </w:rPr>
        <w:t>Predictive Analytics</w:t>
      </w:r>
    </w:p>
    <w:p w14:paraId="0C290532" w14:textId="77777777" w:rsidR="00397132" w:rsidRDefault="00397132">
      <w:pPr>
        <w:jc w:val="both"/>
        <w:rPr>
          <w:rFonts w:ascii="Calibri" w:eastAsia="Calibri" w:hAnsi="Calibri" w:cs="Calibri"/>
        </w:rPr>
      </w:pPr>
    </w:p>
    <w:p w14:paraId="2631E32F" w14:textId="77777777" w:rsidR="00BC293A" w:rsidRDefault="00000000">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Introduction</w:t>
      </w:r>
    </w:p>
    <w:p w14:paraId="62E53B64" w14:textId="77777777" w:rsidR="00BC293A" w:rsidRDefault="00BC293A">
      <w:pPr>
        <w:jc w:val="both"/>
        <w:rPr>
          <w:rFonts w:ascii="Calibri" w:eastAsia="Calibri" w:hAnsi="Calibri" w:cs="Calibri"/>
        </w:rPr>
      </w:pPr>
    </w:p>
    <w:p w14:paraId="39232CB0"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Diabetes has become one of the most significant global health challenges, requiring continuous monitoring and long-term management strategies. Traditional healthcare approaches often fail to ensure patient adherence to treatment plans and lifestyle modifications. The emergence of mobile health (mHealth) applications provides a promising solution by enabling patients to actively participate in self-care through real-time monitoring and personalized guidance.</w:t>
      </w:r>
    </w:p>
    <w:p w14:paraId="15762093" w14:textId="4CDCBEF6"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mHealth applications allow users to record glucose levels, dietary habits, physical activity, and medication intake while maintaining communication with healthcare providers. However, evaluating the real-world effectiveness of these applications remains a major research challenge. Machine learning techniques offer powerful tools for </w:t>
      </w:r>
      <w:r w:rsidR="008163D2" w:rsidRPr="00397132">
        <w:rPr>
          <w:rFonts w:ascii="Calibri" w:eastAsia="Calibri" w:hAnsi="Calibri" w:cs="Calibri"/>
          <w:color w:val="000000"/>
        </w:rPr>
        <w:t>analyzing</w:t>
      </w:r>
      <w:r w:rsidRPr="00397132">
        <w:rPr>
          <w:rFonts w:ascii="Calibri" w:eastAsia="Calibri" w:hAnsi="Calibri" w:cs="Calibri"/>
          <w:color w:val="000000"/>
        </w:rPr>
        <w:t xml:space="preserve"> large-scale healthcare data and identifying </w:t>
      </w:r>
      <w:r w:rsidR="008163D2" w:rsidRPr="00397132">
        <w:rPr>
          <w:rFonts w:ascii="Calibri" w:eastAsia="Calibri" w:hAnsi="Calibri" w:cs="Calibri"/>
          <w:color w:val="000000"/>
        </w:rPr>
        <w:t>behavioral</w:t>
      </w:r>
      <w:r w:rsidRPr="00397132">
        <w:rPr>
          <w:rFonts w:ascii="Calibri" w:eastAsia="Calibri" w:hAnsi="Calibri" w:cs="Calibri"/>
          <w:color w:val="000000"/>
        </w:rPr>
        <w:t xml:space="preserve"> patterns that influence treatment outcomes.</w:t>
      </w:r>
    </w:p>
    <w:p w14:paraId="75FF0C82" w14:textId="6FE8774E" w:rsid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This study investigates how machine learning can evaluate and enhance diabetes management through mHealth platforms. By </w:t>
      </w:r>
      <w:r w:rsidR="008163D2" w:rsidRPr="00397132">
        <w:rPr>
          <w:rFonts w:ascii="Calibri" w:eastAsia="Calibri" w:hAnsi="Calibri" w:cs="Calibri"/>
          <w:color w:val="000000"/>
        </w:rPr>
        <w:t>analyzing</w:t>
      </w:r>
      <w:r w:rsidRPr="00397132">
        <w:rPr>
          <w:rFonts w:ascii="Calibri" w:eastAsia="Calibri" w:hAnsi="Calibri" w:cs="Calibri"/>
          <w:color w:val="000000"/>
        </w:rPr>
        <w:t xml:space="preserve"> user interaction data and clinical indicators such as HbA1c levels, the research identifies features contributing to improved health outcomes and user engagement. The work aims to bridge the gap between digital health technologies and personalized healthcare delivery.</w:t>
      </w:r>
    </w:p>
    <w:p w14:paraId="5ABD5E11" w14:textId="77777777" w:rsidR="00397132" w:rsidRDefault="00397132" w:rsidP="00397132">
      <w:pPr>
        <w:pBdr>
          <w:top w:val="nil"/>
          <w:left w:val="nil"/>
          <w:bottom w:val="nil"/>
          <w:right w:val="nil"/>
          <w:between w:val="nil"/>
        </w:pBdr>
        <w:jc w:val="both"/>
        <w:rPr>
          <w:rFonts w:ascii="Calibri" w:eastAsia="Calibri" w:hAnsi="Calibri" w:cs="Calibri"/>
          <w:color w:val="000000"/>
        </w:rPr>
      </w:pPr>
    </w:p>
    <w:p w14:paraId="2A152DA4" w14:textId="516B5956" w:rsidR="00397132" w:rsidRPr="00397132" w:rsidRDefault="00397132" w:rsidP="00397132">
      <w:pPr>
        <w:pBdr>
          <w:top w:val="nil"/>
          <w:left w:val="nil"/>
          <w:bottom w:val="nil"/>
          <w:right w:val="nil"/>
          <w:between w:val="nil"/>
        </w:pBdr>
        <w:jc w:val="both"/>
        <w:rPr>
          <w:rFonts w:ascii="Calibri" w:eastAsia="Calibri" w:hAnsi="Calibri" w:cs="Calibri"/>
          <w:b/>
          <w:bCs/>
          <w:color w:val="000000"/>
        </w:rPr>
      </w:pPr>
      <w:r w:rsidRPr="00397132">
        <w:rPr>
          <w:rFonts w:ascii="Calibri" w:eastAsia="Calibri" w:hAnsi="Calibri" w:cs="Calibri"/>
          <w:b/>
          <w:bCs/>
          <w:color w:val="000000"/>
        </w:rPr>
        <w:t>Literature Survey</w:t>
      </w:r>
    </w:p>
    <w:p w14:paraId="1CDE2D74"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Recent studies demonstrate the increasing role of machine learning in healthcare analytics and diabetes prediction. Nguyen et al. highlighted the ability of ML models to assist clinicians in diagnosis and decision-making through predictive analytics. Husnain et al. emphasized the importance of integrating lifestyle and environmental factors to improve prediction accuracy.</w:t>
      </w:r>
    </w:p>
    <w:p w14:paraId="12827CDB" w14:textId="6A2B1AAB"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Kasula reported that machine learning enables precision healthcare by supporting early diagnosis and personalized treatment planning. Guan et al. discussed AI-driven healthcare ecosystems integrating digital health technologies for diabetes management. Similarly, Pal et al. </w:t>
      </w:r>
      <w:r w:rsidR="008163D2" w:rsidRPr="00397132">
        <w:rPr>
          <w:rFonts w:ascii="Calibri" w:eastAsia="Calibri" w:hAnsi="Calibri" w:cs="Calibri"/>
          <w:color w:val="000000"/>
        </w:rPr>
        <w:t>analyzed</w:t>
      </w:r>
      <w:r w:rsidRPr="00397132">
        <w:rPr>
          <w:rFonts w:ascii="Calibri" w:eastAsia="Calibri" w:hAnsi="Calibri" w:cs="Calibri"/>
          <w:color w:val="000000"/>
        </w:rPr>
        <w:t xml:space="preserve"> user experience factors affecting engagement in mobile health platforms.</w:t>
      </w:r>
    </w:p>
    <w:p w14:paraId="32FC9C80" w14:textId="5E425A12" w:rsid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Other studies focused on predictive modelling using ensemble learning and neural networks, showing improved classification accuracy for diabetes detection. Research also highlights the importance of usability and sustained engagement in ensuring long-term effectiveness of mHealth applications. Despite these advancements, comprehensive evaluation frameworks combining </w:t>
      </w:r>
      <w:r w:rsidR="008163D2" w:rsidRPr="00397132">
        <w:rPr>
          <w:rFonts w:ascii="Calibri" w:eastAsia="Calibri" w:hAnsi="Calibri" w:cs="Calibri"/>
          <w:color w:val="000000"/>
        </w:rPr>
        <w:t>behavioral</w:t>
      </w:r>
      <w:r w:rsidRPr="00397132">
        <w:rPr>
          <w:rFonts w:ascii="Calibri" w:eastAsia="Calibri" w:hAnsi="Calibri" w:cs="Calibri"/>
          <w:color w:val="000000"/>
        </w:rPr>
        <w:t xml:space="preserve"> analytics and clinical outcomes remain limited. This study addresses this gap by integrating collaborative filtering and supervised learning techniques.</w:t>
      </w:r>
    </w:p>
    <w:p w14:paraId="7FE7CA69"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p>
    <w:p w14:paraId="20025B37" w14:textId="65475A4E"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b/>
          <w:bCs/>
          <w:color w:val="000000"/>
        </w:rPr>
        <w:t>Analysis and Methodology</w:t>
      </w:r>
    </w:p>
    <w:p w14:paraId="157207CD" w14:textId="528819CF" w:rsidR="00397132" w:rsidRPr="00397132" w:rsidRDefault="00397132" w:rsidP="00397132">
      <w:pPr>
        <w:pBdr>
          <w:top w:val="nil"/>
          <w:left w:val="nil"/>
          <w:bottom w:val="nil"/>
          <w:right w:val="nil"/>
          <w:between w:val="nil"/>
        </w:pBdr>
        <w:jc w:val="both"/>
        <w:rPr>
          <w:rFonts w:ascii="Calibri" w:eastAsia="Calibri" w:hAnsi="Calibri" w:cs="Calibri"/>
          <w:b/>
          <w:bCs/>
          <w:color w:val="000000"/>
        </w:rPr>
      </w:pPr>
      <w:r w:rsidRPr="00397132">
        <w:rPr>
          <w:rFonts w:ascii="Calibri" w:eastAsia="Calibri" w:hAnsi="Calibri" w:cs="Calibri"/>
          <w:b/>
          <w:bCs/>
          <w:color w:val="000000"/>
        </w:rPr>
        <w:t>Data Collection and Pre-Processing</w:t>
      </w:r>
    </w:p>
    <w:p w14:paraId="52A20D80"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The dataset includes demographic information, lifestyle patterns, application usage data, and clinical health indicators collected from diabetic users over six months. Key attributes include age, gender, diabetes type, glucose levels, HbA1c values, physical activity, and medication adherence.</w:t>
      </w:r>
    </w:p>
    <w:p w14:paraId="2DECD306" w14:textId="77777777" w:rsid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Pre-processing involves data cleaning, normalization, categorical encoding, feature engineering, and outlier detection. Data integration from electronic health records and wearable devices ensures dataset reliability.</w:t>
      </w:r>
    </w:p>
    <w:p w14:paraId="18D9880D" w14:textId="77777777" w:rsidR="00397132" w:rsidRDefault="00397132" w:rsidP="00397132">
      <w:pPr>
        <w:pBdr>
          <w:top w:val="nil"/>
          <w:left w:val="nil"/>
          <w:bottom w:val="nil"/>
          <w:right w:val="nil"/>
          <w:between w:val="nil"/>
        </w:pBdr>
        <w:jc w:val="both"/>
        <w:rPr>
          <w:rFonts w:ascii="Calibri" w:eastAsia="Calibri" w:hAnsi="Calibri" w:cs="Calibri"/>
          <w:color w:val="000000"/>
        </w:rPr>
      </w:pPr>
    </w:p>
    <w:p w14:paraId="311EC21D"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p>
    <w:p w14:paraId="2BE7EA3B" w14:textId="52578CE2" w:rsidR="00397132" w:rsidRPr="00397132" w:rsidRDefault="00397132" w:rsidP="00397132">
      <w:pPr>
        <w:pBdr>
          <w:top w:val="nil"/>
          <w:left w:val="nil"/>
          <w:bottom w:val="nil"/>
          <w:right w:val="nil"/>
          <w:between w:val="nil"/>
        </w:pBdr>
        <w:jc w:val="both"/>
        <w:rPr>
          <w:rFonts w:ascii="Calibri" w:eastAsia="Calibri" w:hAnsi="Calibri" w:cs="Calibri"/>
          <w:b/>
          <w:bCs/>
          <w:color w:val="000000"/>
        </w:rPr>
      </w:pPr>
      <w:r w:rsidRPr="00397132">
        <w:rPr>
          <w:rFonts w:ascii="Calibri" w:eastAsia="Calibri" w:hAnsi="Calibri" w:cs="Calibri"/>
          <w:b/>
          <w:bCs/>
          <w:color w:val="000000"/>
        </w:rPr>
        <w:t>Sequential Graph Collaborative Filtering (SGCF)</w:t>
      </w:r>
    </w:p>
    <w:p w14:paraId="7B1192AD" w14:textId="3BD4C24C" w:rsid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SGCF models relationships between users and application features using graph-based learning. It captures sequential user interactions and generates personalized recommendations by </w:t>
      </w:r>
      <w:r w:rsidR="008163D2" w:rsidRPr="00397132">
        <w:rPr>
          <w:rFonts w:ascii="Calibri" w:eastAsia="Calibri" w:hAnsi="Calibri" w:cs="Calibri"/>
          <w:color w:val="000000"/>
        </w:rPr>
        <w:t>analyzing</w:t>
      </w:r>
      <w:r w:rsidRPr="00397132">
        <w:rPr>
          <w:rFonts w:ascii="Calibri" w:eastAsia="Calibri" w:hAnsi="Calibri" w:cs="Calibri"/>
          <w:color w:val="000000"/>
        </w:rPr>
        <w:t xml:space="preserve"> </w:t>
      </w:r>
      <w:r w:rsidR="008163D2" w:rsidRPr="00397132">
        <w:rPr>
          <w:rFonts w:ascii="Calibri" w:eastAsia="Calibri" w:hAnsi="Calibri" w:cs="Calibri"/>
          <w:color w:val="000000"/>
        </w:rPr>
        <w:t>behavioral</w:t>
      </w:r>
      <w:r w:rsidRPr="00397132">
        <w:rPr>
          <w:rFonts w:ascii="Calibri" w:eastAsia="Calibri" w:hAnsi="Calibri" w:cs="Calibri"/>
          <w:color w:val="000000"/>
        </w:rPr>
        <w:t xml:space="preserve"> patterns. Message passing mechanisms update user embeddings based on interaction history, improving prediction accuracy and engagement modelling.</w:t>
      </w:r>
    </w:p>
    <w:p w14:paraId="458866EB"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p>
    <w:p w14:paraId="45A90E79" w14:textId="78F13B8B" w:rsidR="00397132" w:rsidRPr="00397132" w:rsidRDefault="00397132" w:rsidP="00397132">
      <w:pPr>
        <w:pBdr>
          <w:top w:val="nil"/>
          <w:left w:val="nil"/>
          <w:bottom w:val="nil"/>
          <w:right w:val="nil"/>
          <w:between w:val="nil"/>
        </w:pBdr>
        <w:jc w:val="both"/>
        <w:rPr>
          <w:rFonts w:ascii="Calibri" w:eastAsia="Calibri" w:hAnsi="Calibri" w:cs="Calibri"/>
          <w:b/>
          <w:bCs/>
          <w:color w:val="000000"/>
        </w:rPr>
      </w:pPr>
      <w:r w:rsidRPr="00397132">
        <w:rPr>
          <w:rFonts w:ascii="Calibri" w:eastAsia="Calibri" w:hAnsi="Calibri" w:cs="Calibri"/>
          <w:b/>
          <w:bCs/>
          <w:color w:val="000000"/>
        </w:rPr>
        <w:t>Extreme Gradient Boosting (</w:t>
      </w:r>
      <w:proofErr w:type="spellStart"/>
      <w:r w:rsidRPr="00397132">
        <w:rPr>
          <w:rFonts w:ascii="Calibri" w:eastAsia="Calibri" w:hAnsi="Calibri" w:cs="Calibri"/>
          <w:b/>
          <w:bCs/>
          <w:color w:val="000000"/>
        </w:rPr>
        <w:t>XGBoost</w:t>
      </w:r>
      <w:proofErr w:type="spellEnd"/>
      <w:r w:rsidRPr="00397132">
        <w:rPr>
          <w:rFonts w:ascii="Calibri" w:eastAsia="Calibri" w:hAnsi="Calibri" w:cs="Calibri"/>
          <w:b/>
          <w:bCs/>
          <w:color w:val="000000"/>
        </w:rPr>
        <w:t>)</w:t>
      </w:r>
    </w:p>
    <w:p w14:paraId="019D03B7" w14:textId="77777777" w:rsidR="00397132" w:rsidRDefault="00397132" w:rsidP="00397132">
      <w:pPr>
        <w:pBdr>
          <w:top w:val="nil"/>
          <w:left w:val="nil"/>
          <w:bottom w:val="nil"/>
          <w:right w:val="nil"/>
          <w:between w:val="nil"/>
        </w:pBdr>
        <w:jc w:val="both"/>
        <w:rPr>
          <w:rFonts w:ascii="Calibri" w:eastAsia="Calibri" w:hAnsi="Calibri" w:cs="Calibri"/>
          <w:color w:val="000000"/>
        </w:rPr>
      </w:pPr>
      <w:proofErr w:type="spellStart"/>
      <w:r w:rsidRPr="00397132">
        <w:rPr>
          <w:rFonts w:ascii="Calibri" w:eastAsia="Calibri" w:hAnsi="Calibri" w:cs="Calibri"/>
          <w:color w:val="000000"/>
        </w:rPr>
        <w:t>XGBoost</w:t>
      </w:r>
      <w:proofErr w:type="spellEnd"/>
      <w:r w:rsidRPr="00397132">
        <w:rPr>
          <w:rFonts w:ascii="Calibri" w:eastAsia="Calibri" w:hAnsi="Calibri" w:cs="Calibri"/>
          <w:color w:val="000000"/>
        </w:rPr>
        <w:t xml:space="preserve"> is employed for predictive modelling due to its robustness and ability to handle missing data. The algorithm iteratively builds decision trees while minimizing loss and controlling model complexity through regularization. It identifies feature importance and predicts health outcomes efficiently.</w:t>
      </w:r>
    </w:p>
    <w:p w14:paraId="058DD43D"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p>
    <w:p w14:paraId="57C95E9A" w14:textId="73B21EAB" w:rsidR="00397132" w:rsidRPr="00397132" w:rsidRDefault="00397132" w:rsidP="00397132">
      <w:pPr>
        <w:pBdr>
          <w:top w:val="nil"/>
          <w:left w:val="nil"/>
          <w:bottom w:val="nil"/>
          <w:right w:val="nil"/>
          <w:between w:val="nil"/>
        </w:pBdr>
        <w:jc w:val="both"/>
        <w:rPr>
          <w:rFonts w:ascii="Calibri" w:eastAsia="Calibri" w:hAnsi="Calibri" w:cs="Calibri"/>
          <w:b/>
          <w:bCs/>
          <w:color w:val="000000"/>
        </w:rPr>
      </w:pPr>
      <w:r w:rsidRPr="00397132">
        <w:rPr>
          <w:rFonts w:ascii="Calibri" w:eastAsia="Calibri" w:hAnsi="Calibri" w:cs="Calibri"/>
          <w:b/>
          <w:bCs/>
          <w:color w:val="000000"/>
        </w:rPr>
        <w:t>Linear Support Vector Classifier (Linear SVC)</w:t>
      </w:r>
    </w:p>
    <w:p w14:paraId="633F1A14" w14:textId="77777777" w:rsid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Linear SVC performs classification by determining optimal hyperplanes separating successful and unsuccessful diabetes management outcomes. It effectively handles high-dimensional healthcare data and provides interpretable results for clinical decision support.</w:t>
      </w:r>
    </w:p>
    <w:p w14:paraId="3947DECF" w14:textId="77777777" w:rsidR="00397132" w:rsidRDefault="00397132" w:rsidP="00397132">
      <w:pPr>
        <w:pBdr>
          <w:top w:val="nil"/>
          <w:left w:val="nil"/>
          <w:bottom w:val="nil"/>
          <w:right w:val="nil"/>
          <w:between w:val="nil"/>
        </w:pBdr>
        <w:jc w:val="both"/>
        <w:rPr>
          <w:rFonts w:ascii="Calibri" w:eastAsia="Calibri" w:hAnsi="Calibri" w:cs="Calibri"/>
          <w:color w:val="000000"/>
        </w:rPr>
      </w:pPr>
    </w:p>
    <w:p w14:paraId="27FE3BB6" w14:textId="5F457C26"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4E2A5A">
        <w:rPr>
          <w:b/>
          <w:bCs/>
          <w:noProof/>
        </w:rPr>
        <w:drawing>
          <wp:inline distT="0" distB="0" distL="0" distR="0" wp14:anchorId="07B89F24" wp14:editId="1CB9044A">
            <wp:extent cx="5942935" cy="3535680"/>
            <wp:effectExtent l="0" t="0" r="1270" b="7620"/>
            <wp:docPr id="373517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0754"/>
                    <a:stretch>
                      <a:fillRect/>
                    </a:stretch>
                  </pic:blipFill>
                  <pic:spPr bwMode="auto">
                    <a:xfrm>
                      <a:off x="0" y="0"/>
                      <a:ext cx="5943600" cy="3536075"/>
                    </a:xfrm>
                    <a:prstGeom prst="rect">
                      <a:avLst/>
                    </a:prstGeom>
                    <a:noFill/>
                    <a:ln>
                      <a:noFill/>
                    </a:ln>
                    <a:extLst>
                      <a:ext uri="{53640926-AAD7-44D8-BBD7-CCE9431645EC}">
                        <a14:shadowObscured xmlns:a14="http://schemas.microsoft.com/office/drawing/2010/main"/>
                      </a:ext>
                    </a:extLst>
                  </pic:spPr>
                </pic:pic>
              </a:graphicData>
            </a:graphic>
          </wp:inline>
        </w:drawing>
      </w:r>
    </w:p>
    <w:p w14:paraId="33083982" w14:textId="0DF12CC6" w:rsidR="00397132" w:rsidRDefault="00397132" w:rsidP="00397132">
      <w:pPr>
        <w:pBdr>
          <w:top w:val="nil"/>
          <w:left w:val="nil"/>
          <w:bottom w:val="nil"/>
          <w:right w:val="nil"/>
          <w:between w:val="nil"/>
        </w:pBdr>
        <w:jc w:val="both"/>
        <w:rPr>
          <w:rFonts w:ascii="Calibri" w:eastAsia="Calibri" w:hAnsi="Calibri" w:cs="Calibri"/>
          <w:i/>
          <w:color w:val="000000"/>
          <w:sz w:val="20"/>
          <w:szCs w:val="20"/>
        </w:rPr>
      </w:pPr>
      <w:r>
        <w:rPr>
          <w:rFonts w:ascii="Calibri" w:eastAsia="Calibri" w:hAnsi="Calibri" w:cs="Calibri"/>
          <w:i/>
          <w:color w:val="000000"/>
          <w:sz w:val="20"/>
          <w:szCs w:val="20"/>
        </w:rPr>
        <w:t>Figure 1. Proposed Model</w:t>
      </w:r>
    </w:p>
    <w:p w14:paraId="7889F0FE" w14:textId="77777777" w:rsidR="00397132" w:rsidRDefault="00397132" w:rsidP="00397132">
      <w:pPr>
        <w:pBdr>
          <w:top w:val="nil"/>
          <w:left w:val="nil"/>
          <w:bottom w:val="nil"/>
          <w:right w:val="nil"/>
          <w:between w:val="nil"/>
        </w:pBdr>
        <w:jc w:val="both"/>
        <w:rPr>
          <w:rFonts w:ascii="Calibri" w:eastAsia="Calibri" w:hAnsi="Calibri" w:cs="Calibri"/>
          <w:i/>
          <w:color w:val="000000"/>
          <w:sz w:val="20"/>
          <w:szCs w:val="20"/>
        </w:rPr>
      </w:pPr>
    </w:p>
    <w:p w14:paraId="4E74D63A" w14:textId="42B0467F" w:rsidR="00397132" w:rsidRPr="00397132" w:rsidRDefault="00397132" w:rsidP="00397132">
      <w:pPr>
        <w:pBdr>
          <w:top w:val="nil"/>
          <w:left w:val="nil"/>
          <w:bottom w:val="nil"/>
          <w:right w:val="nil"/>
          <w:between w:val="nil"/>
        </w:pBdr>
        <w:jc w:val="both"/>
        <w:rPr>
          <w:rFonts w:ascii="Calibri" w:eastAsia="Calibri" w:hAnsi="Calibri" w:cs="Calibri"/>
          <w:b/>
          <w:bCs/>
          <w:color w:val="000000"/>
        </w:rPr>
      </w:pPr>
      <w:r w:rsidRPr="00397132">
        <w:rPr>
          <w:rFonts w:ascii="Calibri" w:eastAsia="Calibri" w:hAnsi="Calibri" w:cs="Calibri"/>
          <w:b/>
          <w:bCs/>
          <w:color w:val="000000"/>
        </w:rPr>
        <w:t>Experimental Results</w:t>
      </w:r>
    </w:p>
    <w:p w14:paraId="734B53D9" w14:textId="314C48E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Experimental evaluation demonstrates improved clinical and behavioral outcomes through mHealth usage:</w:t>
      </w:r>
    </w:p>
    <w:p w14:paraId="2BDC9170" w14:textId="77777777" w:rsidR="00397132" w:rsidRPr="00397132" w:rsidRDefault="00397132" w:rsidP="00397132">
      <w:pPr>
        <w:pBdr>
          <w:top w:val="nil"/>
          <w:left w:val="nil"/>
          <w:bottom w:val="nil"/>
          <w:right w:val="nil"/>
          <w:between w:val="nil"/>
        </w:pBdr>
        <w:ind w:left="567" w:firstLine="567"/>
        <w:jc w:val="both"/>
        <w:rPr>
          <w:rFonts w:ascii="Calibri" w:eastAsia="Calibri" w:hAnsi="Calibri" w:cs="Calibri"/>
          <w:color w:val="000000"/>
        </w:rPr>
      </w:pPr>
      <w:r w:rsidRPr="00397132">
        <w:rPr>
          <w:rFonts w:ascii="Calibri" w:eastAsia="Calibri" w:hAnsi="Calibri" w:cs="Calibri"/>
          <w:color w:val="000000"/>
        </w:rPr>
        <w:t>•</w:t>
      </w:r>
      <w:r w:rsidRPr="00397132">
        <w:rPr>
          <w:rFonts w:ascii="Calibri" w:eastAsia="Calibri" w:hAnsi="Calibri" w:cs="Calibri"/>
          <w:color w:val="000000"/>
        </w:rPr>
        <w:tab/>
        <w:t>HbA1c levels reduced from 8.0 to 7.2 over six months.</w:t>
      </w:r>
    </w:p>
    <w:p w14:paraId="47C434DA" w14:textId="17C8B293" w:rsidR="00397132" w:rsidRPr="00397132" w:rsidRDefault="00397132" w:rsidP="00397132">
      <w:pPr>
        <w:pBdr>
          <w:top w:val="nil"/>
          <w:left w:val="nil"/>
          <w:bottom w:val="nil"/>
          <w:right w:val="nil"/>
          <w:between w:val="nil"/>
        </w:pBdr>
        <w:ind w:left="567" w:firstLine="567"/>
        <w:jc w:val="both"/>
        <w:rPr>
          <w:rFonts w:ascii="Calibri" w:eastAsia="Calibri" w:hAnsi="Calibri" w:cs="Calibri"/>
          <w:color w:val="000000"/>
        </w:rPr>
      </w:pPr>
      <w:r w:rsidRPr="00397132">
        <w:rPr>
          <w:rFonts w:ascii="Calibri" w:eastAsia="Calibri" w:hAnsi="Calibri" w:cs="Calibri"/>
          <w:color w:val="000000"/>
        </w:rPr>
        <w:t>•</w:t>
      </w:r>
      <w:r w:rsidRPr="00397132">
        <w:rPr>
          <w:rFonts w:ascii="Calibri" w:eastAsia="Calibri" w:hAnsi="Calibri" w:cs="Calibri"/>
          <w:color w:val="000000"/>
        </w:rPr>
        <w:tab/>
        <w:t>Hypoglycemia frequency decreased significantly.</w:t>
      </w:r>
    </w:p>
    <w:p w14:paraId="4D2C6DC1" w14:textId="77777777" w:rsidR="00397132" w:rsidRPr="00397132" w:rsidRDefault="00397132" w:rsidP="00397132">
      <w:pPr>
        <w:pBdr>
          <w:top w:val="nil"/>
          <w:left w:val="nil"/>
          <w:bottom w:val="nil"/>
          <w:right w:val="nil"/>
          <w:between w:val="nil"/>
        </w:pBdr>
        <w:ind w:left="567" w:firstLine="567"/>
        <w:jc w:val="both"/>
        <w:rPr>
          <w:rFonts w:ascii="Calibri" w:eastAsia="Calibri" w:hAnsi="Calibri" w:cs="Calibri"/>
          <w:color w:val="000000"/>
        </w:rPr>
      </w:pPr>
      <w:r w:rsidRPr="00397132">
        <w:rPr>
          <w:rFonts w:ascii="Calibri" w:eastAsia="Calibri" w:hAnsi="Calibri" w:cs="Calibri"/>
          <w:color w:val="000000"/>
        </w:rPr>
        <w:t>•</w:t>
      </w:r>
      <w:r w:rsidRPr="00397132">
        <w:rPr>
          <w:rFonts w:ascii="Calibri" w:eastAsia="Calibri" w:hAnsi="Calibri" w:cs="Calibri"/>
          <w:color w:val="000000"/>
        </w:rPr>
        <w:tab/>
        <w:t>User satisfaction improved by nearly 49%.</w:t>
      </w:r>
    </w:p>
    <w:p w14:paraId="3C7B67CB" w14:textId="77777777" w:rsidR="00397132" w:rsidRDefault="00397132" w:rsidP="00397132">
      <w:pPr>
        <w:pBdr>
          <w:top w:val="nil"/>
          <w:left w:val="nil"/>
          <w:bottom w:val="nil"/>
          <w:right w:val="nil"/>
          <w:between w:val="nil"/>
        </w:pBdr>
        <w:ind w:left="567" w:firstLine="567"/>
        <w:jc w:val="both"/>
        <w:rPr>
          <w:rFonts w:ascii="Calibri" w:eastAsia="Calibri" w:hAnsi="Calibri" w:cs="Calibri"/>
          <w:color w:val="000000"/>
        </w:rPr>
      </w:pPr>
      <w:r w:rsidRPr="00397132">
        <w:rPr>
          <w:rFonts w:ascii="Calibri" w:eastAsia="Calibri" w:hAnsi="Calibri" w:cs="Calibri"/>
          <w:color w:val="000000"/>
        </w:rPr>
        <w:t>•</w:t>
      </w:r>
      <w:r w:rsidRPr="00397132">
        <w:rPr>
          <w:rFonts w:ascii="Calibri" w:eastAsia="Calibri" w:hAnsi="Calibri" w:cs="Calibri"/>
          <w:color w:val="000000"/>
        </w:rPr>
        <w:tab/>
        <w:t>Average engagement reached five logins per week.</w:t>
      </w:r>
    </w:p>
    <w:p w14:paraId="4DAA0C67" w14:textId="77777777" w:rsidR="00397132" w:rsidRPr="00397132" w:rsidRDefault="00397132" w:rsidP="00397132">
      <w:pPr>
        <w:pBdr>
          <w:top w:val="nil"/>
          <w:left w:val="nil"/>
          <w:bottom w:val="nil"/>
          <w:right w:val="nil"/>
          <w:between w:val="nil"/>
        </w:pBdr>
        <w:ind w:left="567" w:firstLine="567"/>
        <w:jc w:val="both"/>
        <w:rPr>
          <w:rFonts w:ascii="Calibri" w:eastAsia="Calibri" w:hAnsi="Calibri" w:cs="Calibri"/>
          <w:color w:val="000000"/>
        </w:rPr>
      </w:pPr>
    </w:p>
    <w:p w14:paraId="6549B90D" w14:textId="3C81118F" w:rsidR="00397132" w:rsidRDefault="00397132" w:rsidP="00397132">
      <w:pPr>
        <w:pBdr>
          <w:top w:val="nil"/>
          <w:left w:val="nil"/>
          <w:bottom w:val="nil"/>
          <w:right w:val="nil"/>
          <w:between w:val="nil"/>
        </w:pBdr>
        <w:jc w:val="both"/>
        <w:rPr>
          <w:rFonts w:ascii="Calibri" w:eastAsia="Calibri" w:hAnsi="Calibri" w:cs="Calibri"/>
          <w:i/>
          <w:color w:val="000000"/>
          <w:sz w:val="20"/>
          <w:szCs w:val="20"/>
        </w:rPr>
      </w:pPr>
      <w:r w:rsidRPr="00397132">
        <w:rPr>
          <w:rFonts w:ascii="Calibri" w:eastAsia="Calibri" w:hAnsi="Calibri" w:cs="Calibri"/>
          <w:i/>
          <w:color w:val="000000"/>
          <w:sz w:val="20"/>
          <w:szCs w:val="20"/>
        </w:rPr>
        <w:t>Table 1. Model comparison results show:</w:t>
      </w:r>
    </w:p>
    <w:p w14:paraId="2CF6A7E2" w14:textId="77777777" w:rsidR="005F7147" w:rsidRPr="00397132" w:rsidRDefault="005F7147" w:rsidP="00397132">
      <w:pPr>
        <w:pBdr>
          <w:top w:val="nil"/>
          <w:left w:val="nil"/>
          <w:bottom w:val="nil"/>
          <w:right w:val="nil"/>
          <w:between w:val="nil"/>
        </w:pBdr>
        <w:jc w:val="both"/>
        <w:rPr>
          <w:rFonts w:ascii="Calibri" w:eastAsia="Calibri" w:hAnsi="Calibri" w:cs="Calibri"/>
          <w:i/>
          <w:color w:val="000000"/>
          <w:sz w:val="20"/>
          <w:szCs w:val="20"/>
        </w:rPr>
      </w:pPr>
    </w:p>
    <w:tbl>
      <w:tblPr>
        <w:tblStyle w:val="TableGrid"/>
        <w:tblW w:w="0" w:type="auto"/>
        <w:tblInd w:w="-5" w:type="dxa"/>
        <w:tblLook w:val="04A0" w:firstRow="1" w:lastRow="0" w:firstColumn="1" w:lastColumn="0" w:noHBand="0" w:noVBand="1"/>
      </w:tblPr>
      <w:tblGrid>
        <w:gridCol w:w="3116"/>
        <w:gridCol w:w="1132"/>
      </w:tblGrid>
      <w:tr w:rsidR="00397132" w14:paraId="3C5AC3E0" w14:textId="77777777" w:rsidTr="00397132">
        <w:trPr>
          <w:trHeight w:val="355"/>
        </w:trPr>
        <w:tc>
          <w:tcPr>
            <w:tcW w:w="4248" w:type="dxa"/>
            <w:gridSpan w:val="2"/>
          </w:tcPr>
          <w:p w14:paraId="503C822C" w14:textId="508BDD88" w:rsidR="00397132" w:rsidRDefault="00397132" w:rsidP="00397132">
            <w:pPr>
              <w:pBdr>
                <w:top w:val="nil"/>
                <w:left w:val="nil"/>
                <w:bottom w:val="nil"/>
                <w:right w:val="nil"/>
                <w:between w:val="nil"/>
              </w:pBdr>
              <w:jc w:val="center"/>
              <w:rPr>
                <w:rFonts w:ascii="Calibri" w:eastAsia="Calibri" w:hAnsi="Calibri" w:cs="Calibri"/>
                <w:color w:val="000000"/>
              </w:rPr>
            </w:pPr>
            <w:r w:rsidRPr="00397132">
              <w:rPr>
                <w:rFonts w:ascii="Calibri" w:eastAsia="Calibri" w:hAnsi="Calibri" w:cs="Calibri"/>
                <w:b/>
                <w:bCs/>
                <w:color w:val="000000"/>
              </w:rPr>
              <w:t>Method</w:t>
            </w:r>
            <w:r>
              <w:rPr>
                <w:rFonts w:ascii="Calibri" w:eastAsia="Calibri" w:hAnsi="Calibri" w:cs="Calibri"/>
                <w:b/>
                <w:bCs/>
                <w:color w:val="000000"/>
              </w:rPr>
              <w:t xml:space="preserve"> </w:t>
            </w:r>
            <w:r w:rsidRPr="00397132">
              <w:rPr>
                <w:rFonts w:ascii="Calibri" w:eastAsia="Calibri" w:hAnsi="Calibri" w:cs="Calibri"/>
                <w:b/>
                <w:bCs/>
                <w:color w:val="000000"/>
              </w:rPr>
              <w:t>Accuracy</w:t>
            </w:r>
          </w:p>
        </w:tc>
      </w:tr>
      <w:tr w:rsidR="00397132" w14:paraId="5D0A93DF" w14:textId="77777777" w:rsidTr="00397132">
        <w:tc>
          <w:tcPr>
            <w:tcW w:w="3116" w:type="dxa"/>
          </w:tcPr>
          <w:p w14:paraId="011945D1" w14:textId="7A76BC5D" w:rsidR="00397132" w:rsidRDefault="00397132" w:rsidP="00397132">
            <w:pPr>
              <w:jc w:val="both"/>
              <w:rPr>
                <w:rFonts w:ascii="Calibri" w:eastAsia="Calibri" w:hAnsi="Calibri" w:cs="Calibri"/>
                <w:color w:val="000000"/>
              </w:rPr>
            </w:pPr>
            <w:r w:rsidRPr="00397132">
              <w:rPr>
                <w:rFonts w:ascii="Calibri" w:eastAsia="Calibri" w:hAnsi="Calibri" w:cs="Calibri"/>
                <w:color w:val="000000"/>
              </w:rPr>
              <w:t>AE</w:t>
            </w:r>
          </w:p>
        </w:tc>
        <w:tc>
          <w:tcPr>
            <w:tcW w:w="1132" w:type="dxa"/>
            <w:vMerge w:val="restart"/>
          </w:tcPr>
          <w:p w14:paraId="4F396CB4" w14:textId="77777777" w:rsidR="00397132" w:rsidRDefault="00397132" w:rsidP="00397132">
            <w:pPr>
              <w:jc w:val="both"/>
              <w:rPr>
                <w:rFonts w:ascii="Calibri" w:eastAsia="Calibri" w:hAnsi="Calibri" w:cs="Calibri"/>
                <w:color w:val="000000"/>
              </w:rPr>
            </w:pPr>
            <w:r w:rsidRPr="00397132">
              <w:rPr>
                <w:rFonts w:ascii="Calibri" w:eastAsia="Calibri" w:hAnsi="Calibri" w:cs="Calibri"/>
                <w:color w:val="000000"/>
              </w:rPr>
              <w:t>86.3%</w:t>
            </w:r>
          </w:p>
          <w:p w14:paraId="690C045D" w14:textId="77777777" w:rsidR="00397132" w:rsidRDefault="00397132" w:rsidP="00397132">
            <w:pPr>
              <w:jc w:val="both"/>
              <w:rPr>
                <w:rFonts w:ascii="Calibri" w:eastAsia="Calibri" w:hAnsi="Calibri" w:cs="Calibri"/>
                <w:color w:val="000000"/>
              </w:rPr>
            </w:pPr>
            <w:r w:rsidRPr="00397132">
              <w:rPr>
                <w:rFonts w:ascii="Calibri" w:eastAsia="Calibri" w:hAnsi="Calibri" w:cs="Calibri"/>
                <w:color w:val="000000"/>
              </w:rPr>
              <w:t>92.2%</w:t>
            </w:r>
          </w:p>
          <w:p w14:paraId="7FC8FFCF" w14:textId="0D104EDC" w:rsidR="00397132" w:rsidRDefault="00397132" w:rsidP="00397132">
            <w:pPr>
              <w:jc w:val="both"/>
              <w:rPr>
                <w:rFonts w:ascii="Calibri" w:eastAsia="Calibri" w:hAnsi="Calibri" w:cs="Calibri"/>
                <w:color w:val="000000"/>
              </w:rPr>
            </w:pPr>
            <w:r w:rsidRPr="00397132">
              <w:rPr>
                <w:rFonts w:ascii="Calibri" w:eastAsia="Calibri" w:hAnsi="Calibri" w:cs="Calibri"/>
                <w:color w:val="000000"/>
              </w:rPr>
              <w:t>97.5%</w:t>
            </w:r>
          </w:p>
        </w:tc>
      </w:tr>
      <w:tr w:rsidR="00397132" w14:paraId="334F08E3" w14:textId="77777777" w:rsidTr="00397132">
        <w:tc>
          <w:tcPr>
            <w:tcW w:w="3116" w:type="dxa"/>
          </w:tcPr>
          <w:p w14:paraId="79D7AC99" w14:textId="5E716FF7" w:rsidR="00397132" w:rsidRDefault="00397132" w:rsidP="00397132">
            <w:pPr>
              <w:jc w:val="both"/>
              <w:rPr>
                <w:rFonts w:ascii="Calibri" w:eastAsia="Calibri" w:hAnsi="Calibri" w:cs="Calibri"/>
                <w:color w:val="000000"/>
              </w:rPr>
            </w:pPr>
            <w:r w:rsidRPr="00397132">
              <w:rPr>
                <w:rFonts w:ascii="Calibri" w:eastAsia="Calibri" w:hAnsi="Calibri" w:cs="Calibri"/>
                <w:color w:val="000000"/>
              </w:rPr>
              <w:t>SVM</w:t>
            </w:r>
          </w:p>
        </w:tc>
        <w:tc>
          <w:tcPr>
            <w:tcW w:w="1132" w:type="dxa"/>
            <w:vMerge/>
          </w:tcPr>
          <w:p w14:paraId="02708FF3" w14:textId="5A70C1D2" w:rsidR="00397132" w:rsidRDefault="00397132" w:rsidP="00397132">
            <w:pPr>
              <w:jc w:val="both"/>
              <w:rPr>
                <w:rFonts w:ascii="Calibri" w:eastAsia="Calibri" w:hAnsi="Calibri" w:cs="Calibri"/>
                <w:color w:val="000000"/>
              </w:rPr>
            </w:pPr>
          </w:p>
        </w:tc>
      </w:tr>
      <w:tr w:rsidR="00397132" w14:paraId="6ABA29D2" w14:textId="77777777" w:rsidTr="00397132">
        <w:tc>
          <w:tcPr>
            <w:tcW w:w="3116" w:type="dxa"/>
          </w:tcPr>
          <w:p w14:paraId="7A14BB5D" w14:textId="75648BD0" w:rsidR="00397132" w:rsidRDefault="00397132" w:rsidP="00397132">
            <w:pPr>
              <w:jc w:val="both"/>
              <w:rPr>
                <w:rFonts w:ascii="Calibri" w:eastAsia="Calibri" w:hAnsi="Calibri" w:cs="Calibri"/>
                <w:color w:val="000000"/>
              </w:rPr>
            </w:pPr>
            <w:r w:rsidRPr="00397132">
              <w:rPr>
                <w:rFonts w:ascii="Calibri" w:eastAsia="Calibri" w:hAnsi="Calibri" w:cs="Calibri"/>
                <w:color w:val="000000"/>
              </w:rPr>
              <w:t>Proposed Method</w:t>
            </w:r>
          </w:p>
        </w:tc>
        <w:tc>
          <w:tcPr>
            <w:tcW w:w="1132" w:type="dxa"/>
            <w:vMerge/>
          </w:tcPr>
          <w:p w14:paraId="2007EA74" w14:textId="585075A5" w:rsidR="00397132" w:rsidRDefault="00397132" w:rsidP="00397132">
            <w:pPr>
              <w:jc w:val="both"/>
              <w:rPr>
                <w:rFonts w:ascii="Calibri" w:eastAsia="Calibri" w:hAnsi="Calibri" w:cs="Calibri"/>
                <w:color w:val="000000"/>
              </w:rPr>
            </w:pPr>
          </w:p>
        </w:tc>
      </w:tr>
    </w:tbl>
    <w:p w14:paraId="584D0D8D" w14:textId="200B428F" w:rsidR="00397132" w:rsidRPr="00397132" w:rsidRDefault="00397132" w:rsidP="00397132">
      <w:pPr>
        <w:pBdr>
          <w:top w:val="nil"/>
          <w:left w:val="nil"/>
          <w:bottom w:val="nil"/>
          <w:right w:val="nil"/>
          <w:between w:val="nil"/>
        </w:pBdr>
        <w:jc w:val="both"/>
        <w:rPr>
          <w:rFonts w:ascii="Calibri" w:eastAsia="Calibri" w:hAnsi="Calibri" w:cs="Calibri"/>
          <w:color w:val="000000"/>
        </w:rPr>
      </w:pPr>
    </w:p>
    <w:p w14:paraId="515A204D" w14:textId="08B3440A" w:rsid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The proposed hybrid framework achieves superior performance due to integrated </w:t>
      </w:r>
      <w:r w:rsidR="008163D2" w:rsidRPr="00397132">
        <w:rPr>
          <w:rFonts w:ascii="Calibri" w:eastAsia="Calibri" w:hAnsi="Calibri" w:cs="Calibri"/>
          <w:color w:val="000000"/>
        </w:rPr>
        <w:t>behavioral</w:t>
      </w:r>
      <w:r w:rsidRPr="00397132">
        <w:rPr>
          <w:rFonts w:ascii="Calibri" w:eastAsia="Calibri" w:hAnsi="Calibri" w:cs="Calibri"/>
          <w:color w:val="000000"/>
        </w:rPr>
        <w:t xml:space="preserve"> learning and predictive modelling.</w:t>
      </w:r>
    </w:p>
    <w:p w14:paraId="6A55E893" w14:textId="77777777" w:rsidR="005F7147" w:rsidRDefault="005F7147" w:rsidP="00397132">
      <w:pPr>
        <w:pBdr>
          <w:top w:val="nil"/>
          <w:left w:val="nil"/>
          <w:bottom w:val="nil"/>
          <w:right w:val="nil"/>
          <w:between w:val="nil"/>
        </w:pBdr>
        <w:jc w:val="both"/>
        <w:rPr>
          <w:rFonts w:ascii="Calibri" w:eastAsia="Calibri" w:hAnsi="Calibri" w:cs="Calibri"/>
          <w:color w:val="000000"/>
        </w:rPr>
      </w:pPr>
    </w:p>
    <w:p w14:paraId="287B0353" w14:textId="77777777" w:rsidR="005F7147" w:rsidRDefault="005F7147" w:rsidP="00397132">
      <w:pPr>
        <w:pBdr>
          <w:top w:val="nil"/>
          <w:left w:val="nil"/>
          <w:bottom w:val="nil"/>
          <w:right w:val="nil"/>
          <w:between w:val="nil"/>
        </w:pBdr>
        <w:jc w:val="both"/>
        <w:rPr>
          <w:rFonts w:ascii="Calibri" w:eastAsia="Calibri" w:hAnsi="Calibri" w:cs="Calibri"/>
          <w:color w:val="000000"/>
        </w:rPr>
      </w:pPr>
    </w:p>
    <w:p w14:paraId="0647B886" w14:textId="77777777" w:rsidR="005F7147" w:rsidRDefault="005F7147" w:rsidP="00397132">
      <w:pPr>
        <w:pBdr>
          <w:top w:val="nil"/>
          <w:left w:val="nil"/>
          <w:bottom w:val="nil"/>
          <w:right w:val="nil"/>
          <w:between w:val="nil"/>
        </w:pBdr>
        <w:jc w:val="both"/>
        <w:rPr>
          <w:rFonts w:ascii="Calibri" w:eastAsia="Calibri" w:hAnsi="Calibri" w:cs="Calibri"/>
          <w:color w:val="000000"/>
        </w:rPr>
      </w:pPr>
    </w:p>
    <w:p w14:paraId="7EAA5AFD" w14:textId="77777777" w:rsidR="005F7147" w:rsidRPr="00397132" w:rsidRDefault="005F7147" w:rsidP="00397132">
      <w:pPr>
        <w:pBdr>
          <w:top w:val="nil"/>
          <w:left w:val="nil"/>
          <w:bottom w:val="nil"/>
          <w:right w:val="nil"/>
          <w:between w:val="nil"/>
        </w:pBdr>
        <w:jc w:val="both"/>
        <w:rPr>
          <w:rFonts w:ascii="Calibri" w:eastAsia="Calibri" w:hAnsi="Calibri" w:cs="Calibri"/>
          <w:color w:val="000000"/>
        </w:rPr>
      </w:pPr>
    </w:p>
    <w:p w14:paraId="59654805" w14:textId="0501A058" w:rsidR="00397132" w:rsidRPr="005F7147" w:rsidRDefault="00397132" w:rsidP="00397132">
      <w:pPr>
        <w:pBdr>
          <w:top w:val="nil"/>
          <w:left w:val="nil"/>
          <w:bottom w:val="nil"/>
          <w:right w:val="nil"/>
          <w:between w:val="nil"/>
        </w:pBdr>
        <w:jc w:val="both"/>
        <w:rPr>
          <w:rFonts w:ascii="Calibri" w:eastAsia="Calibri" w:hAnsi="Calibri" w:cs="Calibri"/>
          <w:b/>
          <w:bCs/>
          <w:color w:val="000000"/>
        </w:rPr>
      </w:pPr>
      <w:r w:rsidRPr="005F7147">
        <w:rPr>
          <w:rFonts w:ascii="Calibri" w:eastAsia="Calibri" w:hAnsi="Calibri" w:cs="Calibri"/>
          <w:b/>
          <w:bCs/>
          <w:color w:val="000000"/>
        </w:rPr>
        <w:lastRenderedPageBreak/>
        <w:t>Conclusion</w:t>
      </w:r>
    </w:p>
    <w:p w14:paraId="1D88D1EB" w14:textId="0F202FE3"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This study demonstrates that machine learning–driven evaluation significantly enhances the effectiveness of mHealth applications for diabetes management. Increased user engagement correlates strongly with improved clinical outcomes, including better </w:t>
      </w:r>
      <w:r w:rsidR="008163D2" w:rsidRPr="00397132">
        <w:rPr>
          <w:rFonts w:ascii="Calibri" w:eastAsia="Calibri" w:hAnsi="Calibri" w:cs="Calibri"/>
          <w:color w:val="000000"/>
        </w:rPr>
        <w:t>glycemic</w:t>
      </w:r>
      <w:r w:rsidRPr="00397132">
        <w:rPr>
          <w:rFonts w:ascii="Calibri" w:eastAsia="Calibri" w:hAnsi="Calibri" w:cs="Calibri"/>
          <w:color w:val="000000"/>
        </w:rPr>
        <w:t xml:space="preserve"> control and reduced </w:t>
      </w:r>
      <w:r w:rsidR="008163D2" w:rsidRPr="00397132">
        <w:rPr>
          <w:rFonts w:ascii="Calibri" w:eastAsia="Calibri" w:hAnsi="Calibri" w:cs="Calibri"/>
          <w:color w:val="000000"/>
        </w:rPr>
        <w:t>hypoglycemia</w:t>
      </w:r>
      <w:r w:rsidRPr="00397132">
        <w:rPr>
          <w:rFonts w:ascii="Calibri" w:eastAsia="Calibri" w:hAnsi="Calibri" w:cs="Calibri"/>
          <w:color w:val="000000"/>
        </w:rPr>
        <w:t xml:space="preserve"> events. The integration of SGCF, </w:t>
      </w:r>
      <w:proofErr w:type="spellStart"/>
      <w:r w:rsidRPr="00397132">
        <w:rPr>
          <w:rFonts w:ascii="Calibri" w:eastAsia="Calibri" w:hAnsi="Calibri" w:cs="Calibri"/>
          <w:color w:val="000000"/>
        </w:rPr>
        <w:t>XGBoost</w:t>
      </w:r>
      <w:proofErr w:type="spellEnd"/>
      <w:r w:rsidRPr="00397132">
        <w:rPr>
          <w:rFonts w:ascii="Calibri" w:eastAsia="Calibri" w:hAnsi="Calibri" w:cs="Calibri"/>
          <w:color w:val="000000"/>
        </w:rPr>
        <w:t>, and Linear SVC enables personalized recommendations and accurate prediction of health outcomes.</w:t>
      </w:r>
    </w:p>
    <w:p w14:paraId="24E9DFA4" w14:textId="60683D92"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 xml:space="preserve">The proposed framework achieved 97.5% accuracy, confirming its superiority over conventional approaches. The findings emphasize the importance of combining </w:t>
      </w:r>
      <w:r w:rsidR="008163D2" w:rsidRPr="00397132">
        <w:rPr>
          <w:rFonts w:ascii="Calibri" w:eastAsia="Calibri" w:hAnsi="Calibri" w:cs="Calibri"/>
          <w:color w:val="000000"/>
        </w:rPr>
        <w:t>behavioral</w:t>
      </w:r>
      <w:r w:rsidRPr="00397132">
        <w:rPr>
          <w:rFonts w:ascii="Calibri" w:eastAsia="Calibri" w:hAnsi="Calibri" w:cs="Calibri"/>
          <w:color w:val="000000"/>
        </w:rPr>
        <w:t xml:space="preserve"> analytics with clinical data to design intelligent healthcare systems. Future work may explore long-term deployment, real-time clinical integration, and advanced deep learning models for adaptive healthcare solutions.</w:t>
      </w:r>
    </w:p>
    <w:p w14:paraId="3B35640E" w14:textId="28E3A81B" w:rsidR="00397132" w:rsidRPr="00397132" w:rsidRDefault="00397132" w:rsidP="00397132">
      <w:pPr>
        <w:pBdr>
          <w:top w:val="nil"/>
          <w:left w:val="nil"/>
          <w:bottom w:val="nil"/>
          <w:right w:val="nil"/>
          <w:between w:val="nil"/>
        </w:pBdr>
        <w:jc w:val="both"/>
        <w:rPr>
          <w:rFonts w:ascii="Calibri" w:eastAsia="Calibri" w:hAnsi="Calibri" w:cs="Calibri"/>
          <w:color w:val="000000"/>
        </w:rPr>
      </w:pPr>
    </w:p>
    <w:p w14:paraId="0A4C3FE3" w14:textId="77777777" w:rsidR="00397132" w:rsidRPr="00397132" w:rsidRDefault="00397132" w:rsidP="00397132">
      <w:pPr>
        <w:pBdr>
          <w:top w:val="nil"/>
          <w:left w:val="nil"/>
          <w:bottom w:val="nil"/>
          <w:right w:val="nil"/>
          <w:between w:val="nil"/>
        </w:pBdr>
        <w:jc w:val="both"/>
        <w:rPr>
          <w:rFonts w:ascii="Calibri" w:eastAsia="Calibri" w:hAnsi="Calibri" w:cs="Calibri"/>
          <w:b/>
          <w:bCs/>
          <w:color w:val="000000"/>
        </w:rPr>
      </w:pPr>
      <w:r w:rsidRPr="00397132">
        <w:rPr>
          <w:rFonts w:ascii="Calibri" w:eastAsia="Calibri" w:hAnsi="Calibri" w:cs="Calibri"/>
          <w:b/>
          <w:bCs/>
          <w:color w:val="000000"/>
        </w:rPr>
        <w:t>References</w:t>
      </w:r>
    </w:p>
    <w:p w14:paraId="2A3B8FEE"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1.</w:t>
      </w:r>
      <w:r w:rsidRPr="00397132">
        <w:rPr>
          <w:rFonts w:ascii="Calibri" w:eastAsia="Calibri" w:hAnsi="Calibri" w:cs="Calibri"/>
          <w:color w:val="000000"/>
        </w:rPr>
        <w:tab/>
        <w:t>Jose R. et al., Cardiovascular health management using ML, Applied Sciences, 2024.</w:t>
      </w:r>
    </w:p>
    <w:p w14:paraId="4A0D543C" w14:textId="40B4EB0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2.</w:t>
      </w:r>
      <w:r w:rsidRPr="00397132">
        <w:rPr>
          <w:rFonts w:ascii="Calibri" w:eastAsia="Calibri" w:hAnsi="Calibri" w:cs="Calibri"/>
          <w:color w:val="000000"/>
        </w:rPr>
        <w:tab/>
        <w:t xml:space="preserve">Wee B.F. et al., Diabetes detection using ML and DL approaches, Multimedia Tools and </w:t>
      </w:r>
      <w:r>
        <w:rPr>
          <w:rFonts w:ascii="Calibri" w:eastAsia="Calibri" w:hAnsi="Calibri" w:cs="Calibri"/>
          <w:color w:val="000000"/>
        </w:rPr>
        <w:tab/>
      </w:r>
      <w:r w:rsidRPr="00397132">
        <w:rPr>
          <w:rFonts w:ascii="Calibri" w:eastAsia="Calibri" w:hAnsi="Calibri" w:cs="Calibri"/>
          <w:color w:val="000000"/>
        </w:rPr>
        <w:t>Applications, 2024.</w:t>
      </w:r>
    </w:p>
    <w:p w14:paraId="7C65532A"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3.</w:t>
      </w:r>
      <w:r w:rsidRPr="00397132">
        <w:rPr>
          <w:rFonts w:ascii="Calibri" w:eastAsia="Calibri" w:hAnsi="Calibri" w:cs="Calibri"/>
          <w:color w:val="000000"/>
        </w:rPr>
        <w:tab/>
        <w:t>Amiri Z. et al., Machine learning in personal health applications, Sustainability, 2023.</w:t>
      </w:r>
    </w:p>
    <w:p w14:paraId="56347C80"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4.</w:t>
      </w:r>
      <w:r w:rsidRPr="00397132">
        <w:rPr>
          <w:rFonts w:ascii="Calibri" w:eastAsia="Calibri" w:hAnsi="Calibri" w:cs="Calibri"/>
          <w:color w:val="000000"/>
        </w:rPr>
        <w:tab/>
      </w:r>
      <w:proofErr w:type="spellStart"/>
      <w:r w:rsidRPr="00397132">
        <w:rPr>
          <w:rFonts w:ascii="Calibri" w:eastAsia="Calibri" w:hAnsi="Calibri" w:cs="Calibri"/>
          <w:color w:val="000000"/>
        </w:rPr>
        <w:t>AlZu’bi</w:t>
      </w:r>
      <w:proofErr w:type="spellEnd"/>
      <w:r w:rsidRPr="00397132">
        <w:rPr>
          <w:rFonts w:ascii="Calibri" w:eastAsia="Calibri" w:hAnsi="Calibri" w:cs="Calibri"/>
          <w:color w:val="000000"/>
        </w:rPr>
        <w:t xml:space="preserve"> S. et al., Smart health diabetes monitoring systems, Future Internet, 2023.</w:t>
      </w:r>
    </w:p>
    <w:p w14:paraId="36991949"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5.</w:t>
      </w:r>
      <w:r w:rsidRPr="00397132">
        <w:rPr>
          <w:rFonts w:ascii="Calibri" w:eastAsia="Calibri" w:hAnsi="Calibri" w:cs="Calibri"/>
          <w:color w:val="000000"/>
        </w:rPr>
        <w:tab/>
      </w:r>
      <w:proofErr w:type="spellStart"/>
      <w:r w:rsidRPr="00397132">
        <w:rPr>
          <w:rFonts w:ascii="Calibri" w:eastAsia="Calibri" w:hAnsi="Calibri" w:cs="Calibri"/>
          <w:color w:val="000000"/>
        </w:rPr>
        <w:t>Hennebelle</w:t>
      </w:r>
      <w:proofErr w:type="spellEnd"/>
      <w:r w:rsidRPr="00397132">
        <w:rPr>
          <w:rFonts w:ascii="Calibri" w:eastAsia="Calibri" w:hAnsi="Calibri" w:cs="Calibri"/>
          <w:color w:val="000000"/>
        </w:rPr>
        <w:t xml:space="preserve"> A. et al., ML-based healthcare framework, Procedia Computer Science, 2023.</w:t>
      </w:r>
    </w:p>
    <w:p w14:paraId="2A6BD6BE"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6.</w:t>
      </w:r>
      <w:r w:rsidRPr="00397132">
        <w:rPr>
          <w:rFonts w:ascii="Calibri" w:eastAsia="Calibri" w:hAnsi="Calibri" w:cs="Calibri"/>
          <w:color w:val="000000"/>
        </w:rPr>
        <w:tab/>
        <w:t>Lee Y.B. et al., AI-based digital healthcare platform, Diabetes Care, 2023.</w:t>
      </w:r>
    </w:p>
    <w:p w14:paraId="061A0CF8" w14:textId="77A92F80"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7.</w:t>
      </w:r>
      <w:r w:rsidRPr="00397132">
        <w:rPr>
          <w:rFonts w:ascii="Calibri" w:eastAsia="Calibri" w:hAnsi="Calibri" w:cs="Calibri"/>
          <w:color w:val="000000"/>
        </w:rPr>
        <w:tab/>
        <w:t xml:space="preserve">Chang V. et al., ML classification for diabetes prediction, Neural Computing and Applications, </w:t>
      </w:r>
      <w:r>
        <w:rPr>
          <w:rFonts w:ascii="Calibri" w:eastAsia="Calibri" w:hAnsi="Calibri" w:cs="Calibri"/>
          <w:color w:val="000000"/>
        </w:rPr>
        <w:tab/>
      </w:r>
      <w:r w:rsidRPr="00397132">
        <w:rPr>
          <w:rFonts w:ascii="Calibri" w:eastAsia="Calibri" w:hAnsi="Calibri" w:cs="Calibri"/>
          <w:color w:val="000000"/>
        </w:rPr>
        <w:t>2023.</w:t>
      </w:r>
    </w:p>
    <w:p w14:paraId="307046AF"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8.</w:t>
      </w:r>
      <w:r w:rsidRPr="00397132">
        <w:rPr>
          <w:rFonts w:ascii="Calibri" w:eastAsia="Calibri" w:hAnsi="Calibri" w:cs="Calibri"/>
          <w:color w:val="000000"/>
        </w:rPr>
        <w:tab/>
        <w:t>Jacobs P.G. et al., AI for glycemic control, IEEE Reviews in Biomedical Engineering, 2023.</w:t>
      </w:r>
    </w:p>
    <w:p w14:paraId="5E547114" w14:textId="77777777" w:rsidR="00397132" w:rsidRPr="00397132" w:rsidRDefault="00397132" w:rsidP="00397132">
      <w:pPr>
        <w:pBdr>
          <w:top w:val="nil"/>
          <w:left w:val="nil"/>
          <w:bottom w:val="nil"/>
          <w:right w:val="nil"/>
          <w:between w:val="nil"/>
        </w:pBdr>
        <w:jc w:val="both"/>
        <w:rPr>
          <w:rFonts w:ascii="Calibri" w:eastAsia="Calibri" w:hAnsi="Calibri" w:cs="Calibri"/>
          <w:color w:val="000000"/>
        </w:rPr>
      </w:pPr>
      <w:r w:rsidRPr="00397132">
        <w:rPr>
          <w:rFonts w:ascii="Calibri" w:eastAsia="Calibri" w:hAnsi="Calibri" w:cs="Calibri"/>
          <w:color w:val="000000"/>
        </w:rPr>
        <w:t>9.</w:t>
      </w:r>
      <w:r w:rsidRPr="00397132">
        <w:rPr>
          <w:rFonts w:ascii="Calibri" w:eastAsia="Calibri" w:hAnsi="Calibri" w:cs="Calibri"/>
          <w:color w:val="000000"/>
        </w:rPr>
        <w:tab/>
        <w:t>Ansari R.M. et al., AI in diabetes self-management, Healthcare, 2023.</w:t>
      </w:r>
    </w:p>
    <w:p w14:paraId="551A32CF" w14:textId="5D1D48F7" w:rsidR="00BC293A" w:rsidRDefault="00397132" w:rsidP="00397132">
      <w:pPr>
        <w:pBdr>
          <w:top w:val="nil"/>
          <w:left w:val="nil"/>
          <w:bottom w:val="nil"/>
          <w:right w:val="nil"/>
          <w:between w:val="nil"/>
        </w:pBdr>
        <w:jc w:val="both"/>
        <w:rPr>
          <w:rFonts w:ascii="Calibri" w:eastAsia="Calibri" w:hAnsi="Calibri" w:cs="Calibri"/>
        </w:rPr>
      </w:pPr>
      <w:r w:rsidRPr="00397132">
        <w:rPr>
          <w:rFonts w:ascii="Calibri" w:eastAsia="Calibri" w:hAnsi="Calibri" w:cs="Calibri"/>
          <w:color w:val="000000"/>
        </w:rPr>
        <w:t>10.</w:t>
      </w:r>
      <w:r w:rsidRPr="00397132">
        <w:rPr>
          <w:rFonts w:ascii="Calibri" w:eastAsia="Calibri" w:hAnsi="Calibri" w:cs="Calibri"/>
          <w:color w:val="000000"/>
        </w:rPr>
        <w:tab/>
        <w:t>Menon S.P. et al., Intelligent diabetic patient tracking system, Sensors, 2023.</w:t>
      </w:r>
    </w:p>
    <w:sectPr w:rsidR="00BC293A">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B15F" w14:textId="77777777" w:rsidR="00A97C2C" w:rsidRDefault="00A97C2C">
      <w:pPr>
        <w:spacing w:line="240" w:lineRule="auto"/>
      </w:pPr>
      <w:r>
        <w:separator/>
      </w:r>
    </w:p>
  </w:endnote>
  <w:endnote w:type="continuationSeparator" w:id="0">
    <w:p w14:paraId="2639F7A9" w14:textId="77777777" w:rsidR="00A97C2C" w:rsidRDefault="00A97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CD690A5-0A6F-42C2-945C-997E3F13A350}"/>
    <w:embedBold r:id="rId2" w:fontKey="{CA1D4D6C-4358-4204-BC4D-35266ECEB79E}"/>
    <w:embedItalic r:id="rId3" w:fontKey="{DA8408E2-DCCB-4610-8ADA-2961FB6942BB}"/>
  </w:font>
  <w:font w:name="Open Sans">
    <w:charset w:val="00"/>
    <w:family w:val="swiss"/>
    <w:pitch w:val="variable"/>
    <w:sig w:usb0="E00002EF" w:usb1="4000205B" w:usb2="00000028" w:usb3="00000000" w:csb0="0000019F" w:csb1="00000000"/>
    <w:embedRegular r:id="rId4" w:fontKey="{7DB8DA2E-64CB-410E-AA1F-41DD6BB86BA3}"/>
    <w:embedBold r:id="rId5" w:fontKey="{BA5C7690-CCC8-4D3C-BF1E-1FB1A9C874B3}"/>
  </w:font>
  <w:font w:name="Cambria">
    <w:panose1 w:val="02040503050406030204"/>
    <w:charset w:val="00"/>
    <w:family w:val="roman"/>
    <w:pitch w:val="variable"/>
    <w:sig w:usb0="E00006FF" w:usb1="420024FF" w:usb2="02000000" w:usb3="00000000" w:csb0="0000019F" w:csb1="00000000"/>
    <w:embedRegular r:id="rId6" w:fontKey="{0641E591-B783-4349-BE42-91A9075F82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76BC" w14:textId="209DEF0F" w:rsidR="00BC293A" w:rsidRDefault="009168A5">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Initiative, VOL. 1 NO .</w:t>
    </w:r>
    <w:r w:rsidR="00576839">
      <w:rPr>
        <w:rFonts w:ascii="Open Sans" w:eastAsia="Open Sans" w:hAnsi="Open Sans" w:cs="Open Sans"/>
        <w:b/>
        <w:color w:val="D51F54"/>
        <w:sz w:val="16"/>
        <w:szCs w:val="16"/>
      </w:rPr>
      <w:t>2</w:t>
    </w:r>
    <w:r>
      <w:rPr>
        <w:rFonts w:ascii="Open Sans" w:eastAsia="Open Sans" w:hAnsi="Open Sans" w:cs="Open Sans"/>
        <w:b/>
        <w:color w:val="D51F54"/>
        <w:sz w:val="16"/>
        <w:szCs w:val="16"/>
      </w:rPr>
      <w:t xml:space="preserve"> (202</w:t>
    </w:r>
    <w:r w:rsidR="008E7C07">
      <w:rPr>
        <w:rFonts w:ascii="Open Sans" w:eastAsia="Open Sans" w:hAnsi="Open Sans" w:cs="Open Sans"/>
        <w:b/>
        <w:color w:val="D51F54"/>
        <w:sz w:val="16"/>
        <w:szCs w:val="16"/>
      </w:rPr>
      <w:t>6</w:t>
    </w:r>
    <w:r>
      <w:rPr>
        <w:rFonts w:ascii="Open Sans" w:eastAsia="Open Sans" w:hAnsi="Open Sans" w:cs="Open Sans"/>
        <w:b/>
        <w:color w:val="D51F54"/>
        <w:sz w:val="16"/>
        <w:szCs w:val="16"/>
      </w:rPr>
      <w:t>): LGPR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0F07" w14:textId="77777777" w:rsidR="00A97C2C" w:rsidRDefault="00A97C2C">
      <w:pPr>
        <w:spacing w:line="240" w:lineRule="auto"/>
      </w:pPr>
      <w:r>
        <w:separator/>
      </w:r>
    </w:p>
  </w:footnote>
  <w:footnote w:type="continuationSeparator" w:id="0">
    <w:p w14:paraId="73360F2D" w14:textId="77777777" w:rsidR="00A97C2C" w:rsidRDefault="00A97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B36D" w14:textId="77777777" w:rsidR="00BC293A" w:rsidRDefault="00000000">
    <w:pPr>
      <w:rPr>
        <w:i/>
      </w:rPr>
    </w:pP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463DF"/>
    <w:multiLevelType w:val="multilevel"/>
    <w:tmpl w:val="70607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391EA2"/>
    <w:multiLevelType w:val="multilevel"/>
    <w:tmpl w:val="E2741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55275816">
    <w:abstractNumId w:val="1"/>
  </w:num>
  <w:num w:numId="2" w16cid:durableId="110345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zNDawNDQ3szAxNjBX0lEKTi0uzszPAykwrAUAQztY8CwAAAA="/>
  </w:docVars>
  <w:rsids>
    <w:rsidRoot w:val="00BC293A"/>
    <w:rsid w:val="0002009C"/>
    <w:rsid w:val="00293C47"/>
    <w:rsid w:val="002D140E"/>
    <w:rsid w:val="003805D9"/>
    <w:rsid w:val="00397132"/>
    <w:rsid w:val="00417E93"/>
    <w:rsid w:val="004D4263"/>
    <w:rsid w:val="00576839"/>
    <w:rsid w:val="005F7147"/>
    <w:rsid w:val="007A7D3A"/>
    <w:rsid w:val="007B352F"/>
    <w:rsid w:val="007E65BB"/>
    <w:rsid w:val="008163D2"/>
    <w:rsid w:val="00890FCC"/>
    <w:rsid w:val="008E7C07"/>
    <w:rsid w:val="009168A5"/>
    <w:rsid w:val="009B1A89"/>
    <w:rsid w:val="009D45B6"/>
    <w:rsid w:val="00A062F1"/>
    <w:rsid w:val="00A97C2C"/>
    <w:rsid w:val="00AD4A57"/>
    <w:rsid w:val="00B7489F"/>
    <w:rsid w:val="00BC293A"/>
    <w:rsid w:val="00EC01D2"/>
    <w:rsid w:val="00ED1C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EA8E"/>
  <w15:docId w15:val="{4EF79912-5866-4554-ADFD-5CB991FD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styleId="UnresolvedMention">
    <w:name w:val="Unresolved Mention"/>
    <w:basedOn w:val="DefaultParagraphFont"/>
    <w:uiPriority w:val="99"/>
    <w:semiHidden/>
    <w:unhideWhenUsed/>
    <w:rsid w:val="00761C0A"/>
    <w:rPr>
      <w:color w:val="605E5C"/>
      <w:shd w:val="clear" w:color="auto" w:fill="E1DFDD"/>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3971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df.santhoshkumar@lincoln.edu.m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anthoshkumars@alagappauniversity.ac.i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Sushant Josyula</cp:lastModifiedBy>
  <cp:revision>2</cp:revision>
  <dcterms:created xsi:type="dcterms:W3CDTF">2026-07-28T17:45:00Z</dcterms:created>
  <dcterms:modified xsi:type="dcterms:W3CDTF">2026-07-28T17:45:00Z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efb368e4-3f22-4b8e-ae03-a959cc1991c7</vt:lpwstr>
  </property>
</Properties>
</file>