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1DBF8C" w14:textId="77777777" w:rsidR="005A1A06" w:rsidRPr="003817C0" w:rsidRDefault="00000000">
      <w:pPr>
        <w:spacing w:after="100"/>
        <w:jc w:val="center"/>
        <w:rPr>
          <w:sz w:val="28"/>
          <w:szCs w:val="28"/>
        </w:rPr>
      </w:pPr>
      <w:r w:rsidRPr="003817C0">
        <w:rPr>
          <w:rFonts w:ascii="Calibri" w:eastAsia="Calibri" w:hAnsi="Calibri" w:cs="Calibri"/>
          <w:b/>
          <w:bCs/>
          <w:sz w:val="28"/>
          <w:szCs w:val="28"/>
        </w:rPr>
        <w:t>Evaluating ESG Mutual Funds in India: A Multi-Method Approach to Performance, Flows, Greenwashing and Pricing</w:t>
      </w:r>
    </w:p>
    <w:p w14:paraId="384A3BF8" w14:textId="24B7687D" w:rsidR="005A1A06" w:rsidRPr="00E54816" w:rsidRDefault="00000000" w:rsidP="003817C0">
      <w:pPr>
        <w:spacing w:after="30" w:line="276" w:lineRule="auto"/>
        <w:jc w:val="both"/>
        <w:rPr>
          <w:rFonts w:ascii="Calibri" w:hAnsi="Calibri" w:cs="Calibri"/>
          <w:i/>
          <w:iCs/>
          <w:sz w:val="22"/>
          <w:szCs w:val="22"/>
        </w:rPr>
      </w:pPr>
      <w:r w:rsidRPr="00E54816">
        <w:rPr>
          <w:rFonts w:ascii="Calibri" w:eastAsia="Calibri" w:hAnsi="Calibri" w:cs="Calibri"/>
          <w:i/>
          <w:iCs/>
          <w:sz w:val="22"/>
          <w:szCs w:val="22"/>
        </w:rPr>
        <w:t>Dr. Sushil Kumar Gupta</w:t>
      </w:r>
      <w:r w:rsidR="003817C0" w:rsidRPr="00E54816">
        <w:rPr>
          <w:rFonts w:ascii="Calibri" w:eastAsia="Calibri" w:hAnsi="Calibri" w:cs="Calibri"/>
          <w:i/>
          <w:iCs/>
          <w:sz w:val="22"/>
          <w:szCs w:val="22"/>
          <w:vertAlign w:val="superscript"/>
        </w:rPr>
        <w:t>1</w:t>
      </w:r>
      <w:r w:rsidRPr="00E54816">
        <w:rPr>
          <w:rFonts w:ascii="Calibri" w:eastAsia="Calibri" w:hAnsi="Calibri" w:cs="Calibri"/>
          <w:i/>
          <w:iCs/>
          <w:sz w:val="22"/>
          <w:szCs w:val="22"/>
        </w:rPr>
        <w:t>, Dr. Anu Sayal</w:t>
      </w:r>
      <w:r w:rsidR="003817C0" w:rsidRPr="00E54816">
        <w:rPr>
          <w:rFonts w:ascii="Calibri" w:eastAsia="Calibri" w:hAnsi="Calibri" w:cs="Calibri"/>
          <w:i/>
          <w:iCs/>
          <w:sz w:val="22"/>
          <w:szCs w:val="22"/>
          <w:vertAlign w:val="superscript"/>
        </w:rPr>
        <w:t>2</w:t>
      </w:r>
      <w:r w:rsidRPr="00E54816">
        <w:rPr>
          <w:rFonts w:ascii="Calibri" w:eastAsia="Calibri" w:hAnsi="Calibri" w:cs="Calibri"/>
          <w:i/>
          <w:iCs/>
          <w:sz w:val="22"/>
          <w:szCs w:val="22"/>
        </w:rPr>
        <w:t>, Dr. Anjali Sane</w:t>
      </w:r>
      <w:r w:rsidR="003817C0" w:rsidRPr="00E54816">
        <w:rPr>
          <w:rFonts w:ascii="Calibri" w:eastAsia="Calibri" w:hAnsi="Calibri" w:cs="Calibri"/>
          <w:i/>
          <w:iCs/>
          <w:sz w:val="22"/>
          <w:szCs w:val="22"/>
          <w:vertAlign w:val="superscript"/>
        </w:rPr>
        <w:t>3</w:t>
      </w:r>
    </w:p>
    <w:p w14:paraId="6EADAB11" w14:textId="77777777" w:rsidR="00E22ADF" w:rsidRPr="00E54816" w:rsidRDefault="00E22ADF" w:rsidP="00E22ADF">
      <w:pPr>
        <w:spacing w:after="56" w:line="276" w:lineRule="auto"/>
        <w:ind w:right="210"/>
        <w:jc w:val="both"/>
        <w:rPr>
          <w:rFonts w:ascii="Calibri" w:hAnsi="Calibri" w:cs="Calibri"/>
          <w:sz w:val="22"/>
          <w:szCs w:val="22"/>
        </w:rPr>
      </w:pPr>
      <w:r w:rsidRPr="00E54816">
        <w:rPr>
          <w:rFonts w:ascii="Calibri" w:hAnsi="Calibri" w:cs="Calibri"/>
          <w:sz w:val="22"/>
          <w:szCs w:val="22"/>
          <w:vertAlign w:val="superscript"/>
        </w:rPr>
        <w:t>1a</w:t>
      </w:r>
      <w:r w:rsidRPr="00E54816">
        <w:rPr>
          <w:rFonts w:ascii="Calibri" w:hAnsi="Calibri" w:cs="Calibri"/>
          <w:sz w:val="22"/>
          <w:szCs w:val="22"/>
        </w:rPr>
        <w:t xml:space="preserve">Lincoln University College, 47301, Petaling Jaya, Selangor Darul Ehsan, Malaysia. </w:t>
      </w:r>
    </w:p>
    <w:p w14:paraId="5B299DF0" w14:textId="3207C217" w:rsidR="003817C0" w:rsidRPr="00E54816" w:rsidRDefault="00E22ADF" w:rsidP="00E22ADF">
      <w:pPr>
        <w:spacing w:after="56" w:line="276" w:lineRule="auto"/>
        <w:ind w:right="210"/>
        <w:jc w:val="both"/>
        <w:rPr>
          <w:rFonts w:ascii="Calibri" w:hAnsi="Calibri" w:cs="Calibri"/>
          <w:sz w:val="22"/>
          <w:szCs w:val="22"/>
        </w:rPr>
      </w:pPr>
      <w:r w:rsidRPr="00E54816">
        <w:rPr>
          <w:rFonts w:ascii="Calibri" w:hAnsi="Calibri" w:cs="Calibri"/>
          <w:sz w:val="22"/>
          <w:szCs w:val="22"/>
          <w:vertAlign w:val="superscript"/>
        </w:rPr>
        <w:t>1b</w:t>
      </w:r>
      <w:r w:rsidRPr="00E54816">
        <w:rPr>
          <w:rFonts w:ascii="Calibri" w:hAnsi="Calibri" w:cs="Calibri"/>
          <w:sz w:val="22"/>
          <w:szCs w:val="22"/>
        </w:rPr>
        <w:t>School of Economics and Commerce, Dr. Vishwanath Karad MIT World Peace University, Pune.</w:t>
      </w:r>
    </w:p>
    <w:p w14:paraId="715457B5" w14:textId="3E325E1A" w:rsidR="00E22ADF" w:rsidRPr="00E54816" w:rsidRDefault="00E22ADF" w:rsidP="00E22ADF">
      <w:pPr>
        <w:spacing w:after="56" w:line="276" w:lineRule="auto"/>
        <w:ind w:right="210"/>
        <w:jc w:val="both"/>
        <w:rPr>
          <w:rFonts w:ascii="Calibri" w:hAnsi="Calibri" w:cs="Calibri"/>
          <w:sz w:val="22"/>
          <w:szCs w:val="22"/>
        </w:rPr>
      </w:pPr>
      <w:r w:rsidRPr="00E54816">
        <w:rPr>
          <w:rFonts w:ascii="Calibri" w:hAnsi="Calibri" w:cs="Calibri"/>
          <w:sz w:val="22"/>
          <w:szCs w:val="22"/>
        </w:rPr>
        <w:t>Email ID: pdf.sushilgupta@lincoln.edu.my; sushil.gupta@mitwpu.edu.in</w:t>
      </w:r>
    </w:p>
    <w:p w14:paraId="7011B276" w14:textId="77777777" w:rsidR="00E22ADF" w:rsidRPr="00E54816" w:rsidRDefault="00E22ADF" w:rsidP="00E22ADF">
      <w:pPr>
        <w:spacing w:after="120" w:line="276" w:lineRule="auto"/>
        <w:jc w:val="both"/>
        <w:rPr>
          <w:rFonts w:ascii="Calibri" w:hAnsi="Calibri" w:cs="Calibri"/>
          <w:sz w:val="22"/>
          <w:szCs w:val="22"/>
        </w:rPr>
      </w:pPr>
      <w:r w:rsidRPr="00E54816">
        <w:rPr>
          <w:rFonts w:ascii="Calibri" w:hAnsi="Calibri" w:cs="Calibri"/>
          <w:sz w:val="22"/>
          <w:szCs w:val="22"/>
          <w:vertAlign w:val="superscript"/>
        </w:rPr>
        <w:t>2a</w:t>
      </w:r>
      <w:r w:rsidRPr="00E54816">
        <w:rPr>
          <w:rFonts w:ascii="Calibri" w:hAnsi="Calibri" w:cs="Calibri"/>
          <w:sz w:val="22"/>
          <w:szCs w:val="22"/>
        </w:rPr>
        <w:t xml:space="preserve">Centre for Artificial Intelligence, Madhav Institute of Technology and Science, Gwalior, MP, INDIA. </w:t>
      </w:r>
    </w:p>
    <w:p w14:paraId="5CE0177E" w14:textId="77777777" w:rsidR="00E22ADF" w:rsidRPr="00E54816" w:rsidRDefault="00E22ADF" w:rsidP="00E22ADF">
      <w:pPr>
        <w:spacing w:after="120" w:line="276" w:lineRule="auto"/>
        <w:jc w:val="both"/>
        <w:rPr>
          <w:rFonts w:ascii="Calibri" w:hAnsi="Calibri" w:cs="Calibri"/>
          <w:sz w:val="22"/>
          <w:szCs w:val="22"/>
        </w:rPr>
      </w:pPr>
      <w:r w:rsidRPr="00E54816">
        <w:rPr>
          <w:rFonts w:ascii="Calibri" w:hAnsi="Calibri" w:cs="Calibri"/>
          <w:sz w:val="22"/>
          <w:szCs w:val="22"/>
          <w:vertAlign w:val="superscript"/>
        </w:rPr>
        <w:t>2b</w:t>
      </w:r>
      <w:r w:rsidRPr="00E54816">
        <w:rPr>
          <w:rFonts w:ascii="Calibri" w:hAnsi="Calibri" w:cs="Calibri"/>
          <w:sz w:val="22"/>
          <w:szCs w:val="22"/>
        </w:rPr>
        <w:t xml:space="preserve">Adjunct Faculty, School of Accounting and Finance, Faculty of Business and Law, Taylor's University. Subang Jaya, 47500, MALAYSIA. </w:t>
      </w:r>
    </w:p>
    <w:p w14:paraId="338DBD5C" w14:textId="2ED2F00B" w:rsidR="00E22ADF" w:rsidRPr="00E54816" w:rsidRDefault="00E22ADF" w:rsidP="00E22ADF">
      <w:pPr>
        <w:spacing w:after="120" w:line="276" w:lineRule="auto"/>
        <w:jc w:val="both"/>
        <w:rPr>
          <w:rFonts w:ascii="Calibri" w:hAnsi="Calibri" w:cs="Calibri"/>
          <w:sz w:val="22"/>
          <w:szCs w:val="22"/>
        </w:rPr>
      </w:pPr>
      <w:r w:rsidRPr="00E54816">
        <w:rPr>
          <w:rFonts w:ascii="Calibri" w:hAnsi="Calibri" w:cs="Calibri"/>
          <w:sz w:val="22"/>
          <w:szCs w:val="22"/>
        </w:rPr>
        <w:t xml:space="preserve">Email ID: anu.sayal.07@gmail.com </w:t>
      </w:r>
    </w:p>
    <w:p w14:paraId="2B8BEE0A" w14:textId="77777777" w:rsidR="00E22ADF" w:rsidRPr="00E54816" w:rsidRDefault="00E22ADF" w:rsidP="00E22ADF">
      <w:pPr>
        <w:spacing w:after="120" w:line="276" w:lineRule="auto"/>
        <w:jc w:val="both"/>
        <w:rPr>
          <w:rFonts w:ascii="Calibri" w:hAnsi="Calibri" w:cs="Calibri"/>
          <w:sz w:val="22"/>
          <w:szCs w:val="22"/>
        </w:rPr>
      </w:pPr>
      <w:r w:rsidRPr="00E54816">
        <w:rPr>
          <w:rFonts w:ascii="Calibri" w:hAnsi="Calibri" w:cs="Calibri"/>
          <w:sz w:val="22"/>
          <w:szCs w:val="22"/>
          <w:vertAlign w:val="superscript"/>
        </w:rPr>
        <w:t>3</w:t>
      </w:r>
      <w:r w:rsidRPr="00E54816">
        <w:rPr>
          <w:rFonts w:ascii="Calibri" w:hAnsi="Calibri" w:cs="Calibri"/>
          <w:sz w:val="22"/>
          <w:szCs w:val="22"/>
        </w:rPr>
        <w:t xml:space="preserve">School of Economics and Commerce, Dr. Vishwanath Karad MIT World Peace University, Pune. </w:t>
      </w:r>
    </w:p>
    <w:p w14:paraId="0AF98D1D" w14:textId="63FE3D8B" w:rsidR="003817C0" w:rsidRPr="00E54816" w:rsidRDefault="00E22ADF" w:rsidP="00E22ADF">
      <w:pPr>
        <w:spacing w:after="120" w:line="276" w:lineRule="auto"/>
        <w:jc w:val="both"/>
        <w:rPr>
          <w:rFonts w:ascii="Calibri" w:hAnsi="Calibri" w:cs="Calibri"/>
          <w:sz w:val="22"/>
          <w:szCs w:val="22"/>
        </w:rPr>
      </w:pPr>
      <w:r w:rsidRPr="00E54816">
        <w:rPr>
          <w:rFonts w:ascii="Calibri" w:hAnsi="Calibri" w:cs="Calibri"/>
          <w:sz w:val="22"/>
          <w:szCs w:val="22"/>
        </w:rPr>
        <w:t>Email ID: anjali.sane@mitwpu.edu.in</w:t>
      </w:r>
    </w:p>
    <w:p w14:paraId="4BB40507" w14:textId="0D30975C" w:rsidR="003817C0" w:rsidRPr="00E54816" w:rsidRDefault="00000000" w:rsidP="003817C0">
      <w:pPr>
        <w:spacing w:after="120" w:line="276" w:lineRule="auto"/>
        <w:jc w:val="center"/>
        <w:rPr>
          <w:rFonts w:ascii="Calibri" w:hAnsi="Calibri" w:cs="Calibri"/>
          <w:sz w:val="22"/>
          <w:szCs w:val="22"/>
        </w:rPr>
      </w:pPr>
      <w:r w:rsidRPr="00E54816">
        <w:rPr>
          <w:rFonts w:ascii="Calibri" w:hAnsi="Calibri" w:cs="Calibri"/>
          <w:sz w:val="22"/>
          <w:szCs w:val="22"/>
        </w:rPr>
        <w:pict w14:anchorId="60072558">
          <v:rect id="_x0000_i1025" style="width:0;height:1.5pt" o:hralign="center" o:hrstd="t" o:hr="t" fillcolor="#a0a0a0" stroked="f"/>
        </w:pict>
      </w:r>
    </w:p>
    <w:p w14:paraId="686ABF54" w14:textId="0E62B177" w:rsidR="005A1A06" w:rsidRPr="00E54816" w:rsidRDefault="00000000" w:rsidP="00803F7D">
      <w:pPr>
        <w:spacing w:after="70" w:line="276" w:lineRule="auto"/>
        <w:jc w:val="both"/>
        <w:rPr>
          <w:rFonts w:ascii="Calibri" w:hAnsi="Calibri" w:cs="Calibri"/>
          <w:sz w:val="22"/>
          <w:szCs w:val="22"/>
        </w:rPr>
      </w:pPr>
      <w:r w:rsidRPr="00E54816">
        <w:rPr>
          <w:rFonts w:ascii="Calibri" w:eastAsia="Calibri" w:hAnsi="Calibri" w:cs="Calibri"/>
          <w:b/>
          <w:bCs/>
          <w:sz w:val="22"/>
          <w:szCs w:val="22"/>
        </w:rPr>
        <w:t>Abstract:</w:t>
      </w:r>
      <w:r w:rsidR="00803F7D" w:rsidRPr="00E54816">
        <w:rPr>
          <w:rFonts w:ascii="Calibri" w:eastAsia="Calibri" w:hAnsi="Calibri" w:cs="Calibri"/>
          <w:b/>
          <w:bCs/>
          <w:sz w:val="22"/>
          <w:szCs w:val="22"/>
        </w:rPr>
        <w:t xml:space="preserve"> </w:t>
      </w:r>
      <w:r w:rsidR="00803F7D" w:rsidRPr="00E54816">
        <w:rPr>
          <w:rFonts w:ascii="Calibri" w:eastAsia="Calibri" w:hAnsi="Calibri" w:cs="Calibri"/>
          <w:sz w:val="22"/>
          <w:szCs w:val="22"/>
        </w:rPr>
        <w:t xml:space="preserve">However, given India's retail-heavy investor base and fledgling ESG-disclosure system, it is still an open empirical question whether ESG (environmental, social and governance) labelled mutual funds find out and provide superior performance, generate “true” ESG-flows, minimize greenwashing, or earn a valuation premium. This paper develops a fully replicable research methodology for examining four null hypotheses of performance parity, flow insensitivity, greenwashing and valuation premium. It combines five institutional data sources with five hypothesis-specific tools: an India-augmented Carhart five-factor alpha model, Arellano-Bond dynamic panel GMM, portfolio-level greenwashing indexing, bootstrap inference, and dual-green sellers triangulation as well as regression discontinuity design </w:t>
      </w:r>
      <w:proofErr w:type="spellStart"/>
      <w:r w:rsidR="00803F7D" w:rsidRPr="00E54816">
        <w:rPr>
          <w:rFonts w:ascii="Calibri" w:eastAsia="Calibri" w:hAnsi="Calibri" w:cs="Calibri"/>
          <w:sz w:val="22"/>
          <w:szCs w:val="22"/>
        </w:rPr>
        <w:t>centered</w:t>
      </w:r>
      <w:proofErr w:type="spellEnd"/>
      <w:r w:rsidR="00803F7D" w:rsidRPr="00E54816">
        <w:rPr>
          <w:rFonts w:ascii="Calibri" w:eastAsia="Calibri" w:hAnsi="Calibri" w:cs="Calibri"/>
          <w:sz w:val="22"/>
          <w:szCs w:val="22"/>
        </w:rPr>
        <w:t xml:space="preserve"> around the 2021 BRSR mandate. The design emphasizes causal identification, construct validity, and replicability and serves as a blueprint for ESG fund research in other emerging economies with limited data and retail investors.</w:t>
      </w:r>
    </w:p>
    <w:p w14:paraId="623AFB4B" w14:textId="6DCCE06C" w:rsidR="005A1A06" w:rsidRPr="00E54816" w:rsidRDefault="00000000" w:rsidP="003817C0">
      <w:pPr>
        <w:spacing w:after="100" w:line="276" w:lineRule="auto"/>
        <w:jc w:val="both"/>
        <w:rPr>
          <w:rFonts w:ascii="Calibri" w:hAnsi="Calibri" w:cs="Calibri"/>
          <w:sz w:val="22"/>
          <w:szCs w:val="22"/>
        </w:rPr>
      </w:pPr>
      <w:r w:rsidRPr="00E54816">
        <w:rPr>
          <w:rFonts w:ascii="Calibri" w:eastAsia="Calibri" w:hAnsi="Calibri" w:cs="Calibri"/>
          <w:b/>
          <w:bCs/>
          <w:sz w:val="22"/>
          <w:szCs w:val="22"/>
        </w:rPr>
        <w:t xml:space="preserve">Keywords: </w:t>
      </w:r>
      <w:r w:rsidRPr="00E54816">
        <w:rPr>
          <w:rFonts w:ascii="Calibri" w:eastAsia="Calibri" w:hAnsi="Calibri" w:cs="Calibri"/>
          <w:i/>
          <w:iCs/>
          <w:sz w:val="22"/>
          <w:szCs w:val="22"/>
        </w:rPr>
        <w:t xml:space="preserve">ESG mutual funds; Carhart factor model; Arellano-Bond GMM; greenwashing; BRSR; </w:t>
      </w:r>
    </w:p>
    <w:p w14:paraId="0BC74DCE" w14:textId="77777777" w:rsidR="005A1A06" w:rsidRPr="00E54816" w:rsidRDefault="00000000" w:rsidP="003817C0">
      <w:pPr>
        <w:spacing w:before="110" w:after="60" w:line="276" w:lineRule="auto"/>
        <w:rPr>
          <w:rFonts w:ascii="Calibri" w:hAnsi="Calibri" w:cs="Calibri"/>
          <w:sz w:val="22"/>
          <w:szCs w:val="22"/>
        </w:rPr>
      </w:pPr>
      <w:r w:rsidRPr="00E54816">
        <w:rPr>
          <w:rFonts w:ascii="Calibri" w:eastAsia="Calibri" w:hAnsi="Calibri" w:cs="Calibri"/>
          <w:b/>
          <w:bCs/>
          <w:sz w:val="22"/>
          <w:szCs w:val="22"/>
        </w:rPr>
        <w:t>Introduction</w:t>
      </w:r>
    </w:p>
    <w:p w14:paraId="4AC76CE3" w14:textId="1C346F4F" w:rsidR="005A1A06" w:rsidRPr="00E54816" w:rsidRDefault="00803F7D" w:rsidP="003817C0">
      <w:pPr>
        <w:spacing w:after="70" w:line="276" w:lineRule="auto"/>
        <w:jc w:val="both"/>
        <w:rPr>
          <w:rFonts w:ascii="Calibri" w:hAnsi="Calibri" w:cs="Calibri"/>
          <w:sz w:val="22"/>
          <w:szCs w:val="22"/>
        </w:rPr>
      </w:pPr>
      <w:r w:rsidRPr="00E54816">
        <w:rPr>
          <w:rFonts w:ascii="Calibri" w:eastAsia="Calibri" w:hAnsi="Calibri" w:cs="Calibri"/>
          <w:sz w:val="22"/>
          <w:szCs w:val="22"/>
        </w:rPr>
        <w:t>In the context of ESG world, this is an empirical puzzle of high interest for the Indian context: the assets under management in ESG labelled mutual funds for India have risen from negligible amounts to over INR 25,000 crore in 2018-23 [1]. This study is driven by 4 interconnected questions as to whether ESG-labelled funds provide superior risk-return characteristics, whether investor's money actually flows to follow the ESG signal, whether the money flowing to the fund portfolios reflects the marketed ESG claims or whether greenwashing exists, and whether the increasing demand for ESG products is translated into a stock valuation premium (</w:t>
      </w:r>
      <w:proofErr w:type="spellStart"/>
      <w:r w:rsidRPr="00E54816">
        <w:rPr>
          <w:rFonts w:ascii="Calibri" w:eastAsia="Calibri" w:hAnsi="Calibri" w:cs="Calibri"/>
          <w:sz w:val="22"/>
          <w:szCs w:val="22"/>
        </w:rPr>
        <w:t>greenium</w:t>
      </w:r>
      <w:proofErr w:type="spellEnd"/>
      <w:r w:rsidRPr="00E54816">
        <w:rPr>
          <w:rFonts w:ascii="Calibri" w:eastAsia="Calibri" w:hAnsi="Calibri" w:cs="Calibri"/>
          <w:sz w:val="22"/>
          <w:szCs w:val="22"/>
        </w:rPr>
        <w:t xml:space="preserve">)? </w:t>
      </w:r>
      <w:r w:rsidR="00552F14" w:rsidRPr="00E54816">
        <w:rPr>
          <w:rFonts w:ascii="Calibri" w:eastAsia="Calibri" w:hAnsi="Calibri" w:cs="Calibri"/>
          <w:sz w:val="22"/>
          <w:szCs w:val="22"/>
        </w:rPr>
        <w:t xml:space="preserve">[7] [9] </w:t>
      </w:r>
      <w:r w:rsidRPr="00E54816">
        <w:rPr>
          <w:rFonts w:ascii="Calibri" w:eastAsia="Calibri" w:hAnsi="Calibri" w:cs="Calibri"/>
          <w:sz w:val="22"/>
          <w:szCs w:val="22"/>
        </w:rPr>
        <w:t>With an investor base that is predominantly retail-based, limited ESG-data ecosystem, and the structural change arising with the 2021 Business Responsibility and Sustainability Reporting (BRSR) mandate, answering these questions is even more challenging when compared with those studied in previous studies in the US and Europe. This paper exclusively focuses on the research methodology, namely operationalization of four testable null hypotheses, H1 (performance parity), H2 (flow insensitivity), H3 (no ESG characteristic advantage over marketed claims) and H4 (no valuation premium) in a unified multi-method operationalization.</w:t>
      </w:r>
    </w:p>
    <w:p w14:paraId="5FA90EEA" w14:textId="77777777" w:rsidR="005A1A06" w:rsidRPr="00E54816" w:rsidRDefault="00000000" w:rsidP="003817C0">
      <w:pPr>
        <w:spacing w:before="110" w:after="60" w:line="276" w:lineRule="auto"/>
        <w:rPr>
          <w:rFonts w:ascii="Calibri" w:hAnsi="Calibri" w:cs="Calibri"/>
          <w:sz w:val="22"/>
          <w:szCs w:val="22"/>
        </w:rPr>
      </w:pPr>
      <w:r w:rsidRPr="00E54816">
        <w:rPr>
          <w:rFonts w:ascii="Calibri" w:eastAsia="Calibri" w:hAnsi="Calibri" w:cs="Calibri"/>
          <w:b/>
          <w:bCs/>
          <w:sz w:val="22"/>
          <w:szCs w:val="22"/>
        </w:rPr>
        <w:lastRenderedPageBreak/>
        <w:t>Related Work</w:t>
      </w:r>
    </w:p>
    <w:p w14:paraId="73AE07AA" w14:textId="030FA5ED" w:rsidR="005A1A06" w:rsidRPr="00E54816" w:rsidRDefault="006B082B" w:rsidP="003817C0">
      <w:pPr>
        <w:spacing w:after="70" w:line="276" w:lineRule="auto"/>
        <w:jc w:val="both"/>
        <w:rPr>
          <w:rFonts w:ascii="Calibri" w:hAnsi="Calibri" w:cs="Calibri"/>
          <w:sz w:val="22"/>
          <w:szCs w:val="22"/>
        </w:rPr>
      </w:pPr>
      <w:r w:rsidRPr="00E54816">
        <w:rPr>
          <w:rFonts w:ascii="Calibri" w:eastAsia="Calibri" w:hAnsi="Calibri" w:cs="Calibri"/>
          <w:sz w:val="22"/>
          <w:szCs w:val="22"/>
        </w:rPr>
        <w:t xml:space="preserve">The evidence of the performance of ESG funds is mixed at international level. Following Carhart's four-factor model [4] most of the research does not show a systematic outperformance or underperformance of funds with a sustainability focus when controlling for risk factors. </w:t>
      </w:r>
      <w:proofErr w:type="spellStart"/>
      <w:r w:rsidRPr="00E54816">
        <w:rPr>
          <w:rFonts w:ascii="Calibri" w:eastAsia="Calibri" w:hAnsi="Calibri" w:cs="Calibri"/>
          <w:sz w:val="22"/>
          <w:szCs w:val="22"/>
        </w:rPr>
        <w:t>Hartzmark</w:t>
      </w:r>
      <w:proofErr w:type="spellEnd"/>
      <w:r w:rsidRPr="00E54816">
        <w:rPr>
          <w:rFonts w:ascii="Calibri" w:eastAsia="Calibri" w:hAnsi="Calibri" w:cs="Calibri"/>
          <w:sz w:val="22"/>
          <w:szCs w:val="22"/>
        </w:rPr>
        <w:t xml:space="preserve"> and Sussman [7] demonstrate that investors are willing to invest more in higher rated funds, and Riedl and Smeets [9] report that investors have a social preference for holding SRI funds over return expectations. The dual-provider design adopted here arises from the fact that there is rating divergence among providers as documented by Berg, Koelbel and </w:t>
      </w:r>
      <w:proofErr w:type="spellStart"/>
      <w:r w:rsidRPr="00E54816">
        <w:rPr>
          <w:rFonts w:ascii="Calibri" w:eastAsia="Calibri" w:hAnsi="Calibri" w:cs="Calibri"/>
          <w:sz w:val="22"/>
          <w:szCs w:val="22"/>
        </w:rPr>
        <w:t>Rigobon</w:t>
      </w:r>
      <w:proofErr w:type="spellEnd"/>
      <w:r w:rsidRPr="00E54816">
        <w:rPr>
          <w:rFonts w:ascii="Calibri" w:eastAsia="Calibri" w:hAnsi="Calibri" w:cs="Calibri"/>
          <w:sz w:val="22"/>
          <w:szCs w:val="22"/>
        </w:rPr>
        <w:t xml:space="preserve"> [3]. Khan, Serafeim and Yoon [8] and Gibson Brandon et al. [6] also demonstrate that in this literature, it is not just the power of the statistics that limits conclusions, but also the construct validity, which is limited in the Indian context by the shallowness of the ESG-disclosure environment [10].</w:t>
      </w:r>
    </w:p>
    <w:p w14:paraId="7668EABB" w14:textId="77777777" w:rsidR="005A1A06" w:rsidRPr="00E54816" w:rsidRDefault="00000000" w:rsidP="003817C0">
      <w:pPr>
        <w:spacing w:before="110" w:after="60" w:line="276" w:lineRule="auto"/>
        <w:rPr>
          <w:rFonts w:ascii="Calibri" w:hAnsi="Calibri" w:cs="Calibri"/>
          <w:sz w:val="22"/>
          <w:szCs w:val="22"/>
        </w:rPr>
      </w:pPr>
      <w:r w:rsidRPr="00E54816">
        <w:rPr>
          <w:rFonts w:ascii="Calibri" w:eastAsia="Calibri" w:hAnsi="Calibri" w:cs="Calibri"/>
          <w:b/>
          <w:bCs/>
          <w:sz w:val="22"/>
          <w:szCs w:val="22"/>
        </w:rPr>
        <w:t>Key Contribution</w:t>
      </w:r>
    </w:p>
    <w:p w14:paraId="32021061" w14:textId="1FFA73E6" w:rsidR="005A1A06" w:rsidRPr="00E54816" w:rsidRDefault="00FD7B80" w:rsidP="003817C0">
      <w:pPr>
        <w:spacing w:after="70" w:line="276" w:lineRule="auto"/>
        <w:jc w:val="both"/>
        <w:rPr>
          <w:rFonts w:ascii="Calibri" w:hAnsi="Calibri" w:cs="Calibri"/>
          <w:sz w:val="22"/>
          <w:szCs w:val="22"/>
        </w:rPr>
      </w:pPr>
      <w:r w:rsidRPr="00E54816">
        <w:rPr>
          <w:rFonts w:ascii="Calibri" w:eastAsia="Calibri" w:hAnsi="Calibri" w:cs="Calibri"/>
          <w:sz w:val="22"/>
          <w:szCs w:val="22"/>
        </w:rPr>
        <w:t>The methodological contributions of this paper are twofold: firstly, it establishes an integrated five-source data architecture for Indian funds classified as ESG that maps four hypotheses with matching analytical tools and robustness protocols and turn the BRSR mandate [10] into a natural experiment that can be used for causal identification using the regression discontinuity and difference-in-differences designs—as opposed to being used as a control variable—as a core pillar of the paper. It also codifies a portfolio holdings approach to review and benchmark marketing ESG claims against the actual portfolio compositions -- a blueprint that can be replicated to research ESG funds in data-scarce emerging markets.</w:t>
      </w:r>
    </w:p>
    <w:p w14:paraId="143B2A3D" w14:textId="77777777" w:rsidR="005A1A06" w:rsidRPr="00E54816" w:rsidRDefault="00000000" w:rsidP="003817C0">
      <w:pPr>
        <w:spacing w:before="110" w:after="60" w:line="276" w:lineRule="auto"/>
        <w:rPr>
          <w:rFonts w:ascii="Calibri" w:hAnsi="Calibri" w:cs="Calibri"/>
          <w:sz w:val="22"/>
          <w:szCs w:val="22"/>
        </w:rPr>
      </w:pPr>
      <w:r w:rsidRPr="00E54816">
        <w:rPr>
          <w:rFonts w:ascii="Calibri" w:eastAsia="Calibri" w:hAnsi="Calibri" w:cs="Calibri"/>
          <w:b/>
          <w:bCs/>
          <w:sz w:val="22"/>
          <w:szCs w:val="22"/>
        </w:rPr>
        <w:t>Method, Experiments and Results</w:t>
      </w:r>
    </w:p>
    <w:p w14:paraId="3CD02733" w14:textId="77777777" w:rsidR="005A1A06" w:rsidRPr="00E54816" w:rsidRDefault="00000000" w:rsidP="003817C0">
      <w:pPr>
        <w:spacing w:after="70" w:line="276" w:lineRule="auto"/>
        <w:jc w:val="both"/>
        <w:rPr>
          <w:rFonts w:ascii="Calibri" w:hAnsi="Calibri" w:cs="Calibri"/>
          <w:sz w:val="22"/>
          <w:szCs w:val="22"/>
        </w:rPr>
      </w:pPr>
      <w:r w:rsidRPr="00E54816">
        <w:rPr>
          <w:rFonts w:ascii="Calibri" w:eastAsia="Calibri" w:hAnsi="Calibri" w:cs="Calibri"/>
          <w:sz w:val="22"/>
          <w:szCs w:val="22"/>
        </w:rPr>
        <w:t>Five institutional sources are integrated into a monthly panel spanning January 2018–December 2023, covering NAV, flows, holdings, ESG ratings, market prices, and post-2021 BRSR disclosures. Table 1 details the sources, variables, and coverage window.</w:t>
      </w:r>
    </w:p>
    <w:p w14:paraId="187C9C7B" w14:textId="77777777" w:rsidR="005A1A06" w:rsidRPr="00E54816" w:rsidRDefault="00000000" w:rsidP="003817C0">
      <w:pPr>
        <w:spacing w:before="50" w:after="30" w:line="276" w:lineRule="auto"/>
        <w:rPr>
          <w:rFonts w:ascii="Calibri" w:hAnsi="Calibri" w:cs="Calibri"/>
          <w:sz w:val="22"/>
          <w:szCs w:val="22"/>
        </w:rPr>
      </w:pPr>
      <w:r w:rsidRPr="00E54816">
        <w:rPr>
          <w:rFonts w:ascii="Calibri" w:eastAsia="Calibri" w:hAnsi="Calibri" w:cs="Calibri"/>
          <w:i/>
          <w:iCs/>
          <w:sz w:val="22"/>
          <w:szCs w:val="22"/>
        </w:rPr>
        <w:t>Table 1. Data Sources, Variables, and Coverage</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00"/>
        <w:gridCol w:w="2000"/>
        <w:gridCol w:w="3550"/>
        <w:gridCol w:w="1150"/>
        <w:gridCol w:w="1150"/>
      </w:tblGrid>
      <w:tr w:rsidR="005A1A06" w:rsidRPr="00E54816" w14:paraId="10CD2824" w14:textId="77777777">
        <w:trPr>
          <w:tblHeader/>
        </w:trPr>
        <w:tc>
          <w:tcPr>
            <w:tcW w:w="1500" w:type="dxa"/>
            <w:shd w:val="clear" w:color="auto" w:fill="D9E2F3"/>
            <w:tcMar>
              <w:top w:w="30" w:type="dxa"/>
              <w:left w:w="60" w:type="dxa"/>
              <w:bottom w:w="30" w:type="dxa"/>
              <w:right w:w="60" w:type="dxa"/>
            </w:tcMar>
            <w:vAlign w:val="center"/>
          </w:tcPr>
          <w:p w14:paraId="7F8BE31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Source</w:t>
            </w:r>
          </w:p>
        </w:tc>
        <w:tc>
          <w:tcPr>
            <w:tcW w:w="2000" w:type="dxa"/>
            <w:shd w:val="clear" w:color="auto" w:fill="D9E2F3"/>
            <w:tcMar>
              <w:top w:w="30" w:type="dxa"/>
              <w:left w:w="60" w:type="dxa"/>
              <w:bottom w:w="30" w:type="dxa"/>
              <w:right w:w="60" w:type="dxa"/>
            </w:tcMar>
            <w:vAlign w:val="center"/>
          </w:tcPr>
          <w:p w14:paraId="3492C87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Institution</w:t>
            </w:r>
          </w:p>
        </w:tc>
        <w:tc>
          <w:tcPr>
            <w:tcW w:w="3550" w:type="dxa"/>
            <w:shd w:val="clear" w:color="auto" w:fill="D9E2F3"/>
            <w:tcMar>
              <w:top w:w="30" w:type="dxa"/>
              <w:left w:w="60" w:type="dxa"/>
              <w:bottom w:w="30" w:type="dxa"/>
              <w:right w:w="60" w:type="dxa"/>
            </w:tcMar>
            <w:vAlign w:val="center"/>
          </w:tcPr>
          <w:p w14:paraId="7E2217A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Variables Extracted</w:t>
            </w:r>
          </w:p>
        </w:tc>
        <w:tc>
          <w:tcPr>
            <w:tcW w:w="1150" w:type="dxa"/>
            <w:shd w:val="clear" w:color="auto" w:fill="D9E2F3"/>
            <w:tcMar>
              <w:top w:w="30" w:type="dxa"/>
              <w:left w:w="60" w:type="dxa"/>
              <w:bottom w:w="30" w:type="dxa"/>
              <w:right w:w="60" w:type="dxa"/>
            </w:tcMar>
            <w:vAlign w:val="center"/>
          </w:tcPr>
          <w:p w14:paraId="7CF192D7"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Frequency</w:t>
            </w:r>
          </w:p>
        </w:tc>
        <w:tc>
          <w:tcPr>
            <w:tcW w:w="1150" w:type="dxa"/>
            <w:shd w:val="clear" w:color="auto" w:fill="D9E2F3"/>
            <w:tcMar>
              <w:top w:w="30" w:type="dxa"/>
              <w:left w:w="60" w:type="dxa"/>
              <w:bottom w:w="30" w:type="dxa"/>
              <w:right w:w="60" w:type="dxa"/>
            </w:tcMar>
            <w:vAlign w:val="center"/>
          </w:tcPr>
          <w:p w14:paraId="5A9B3F0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Coverage</w:t>
            </w:r>
          </w:p>
        </w:tc>
      </w:tr>
      <w:tr w:rsidR="005A1A06" w:rsidRPr="00E54816" w14:paraId="15060694" w14:textId="77777777">
        <w:tc>
          <w:tcPr>
            <w:tcW w:w="1500" w:type="dxa"/>
            <w:tcMar>
              <w:top w:w="30" w:type="dxa"/>
              <w:left w:w="60" w:type="dxa"/>
              <w:bottom w:w="30" w:type="dxa"/>
              <w:right w:w="60" w:type="dxa"/>
            </w:tcMar>
            <w:vAlign w:val="center"/>
          </w:tcPr>
          <w:p w14:paraId="29899C96" w14:textId="77777777" w:rsidR="005A1A06" w:rsidRPr="00E54816" w:rsidRDefault="00000000" w:rsidP="005C403D">
            <w:pPr>
              <w:spacing w:line="276" w:lineRule="auto"/>
              <w:rPr>
                <w:rFonts w:ascii="Calibri" w:hAnsi="Calibri" w:cs="Calibri"/>
                <w:sz w:val="22"/>
                <w:szCs w:val="22"/>
              </w:rPr>
            </w:pPr>
            <w:r w:rsidRPr="00E54816">
              <w:rPr>
                <w:rFonts w:ascii="Calibri" w:eastAsia="Calibri" w:hAnsi="Calibri" w:cs="Calibri"/>
                <w:sz w:val="22"/>
                <w:szCs w:val="22"/>
              </w:rPr>
              <w:t>AMFI</w:t>
            </w:r>
          </w:p>
        </w:tc>
        <w:tc>
          <w:tcPr>
            <w:tcW w:w="2000" w:type="dxa"/>
            <w:tcMar>
              <w:top w:w="30" w:type="dxa"/>
              <w:left w:w="60" w:type="dxa"/>
              <w:bottom w:w="30" w:type="dxa"/>
              <w:right w:w="60" w:type="dxa"/>
            </w:tcMar>
            <w:vAlign w:val="center"/>
          </w:tcPr>
          <w:p w14:paraId="1F48E01D" w14:textId="77777777" w:rsidR="005A1A06" w:rsidRPr="00E54816" w:rsidRDefault="00000000" w:rsidP="005C403D">
            <w:pPr>
              <w:spacing w:line="276" w:lineRule="auto"/>
              <w:rPr>
                <w:rFonts w:ascii="Calibri" w:hAnsi="Calibri" w:cs="Calibri"/>
                <w:sz w:val="22"/>
                <w:szCs w:val="22"/>
              </w:rPr>
            </w:pPr>
            <w:r w:rsidRPr="00E54816">
              <w:rPr>
                <w:rFonts w:ascii="Calibri" w:eastAsia="Calibri" w:hAnsi="Calibri" w:cs="Calibri"/>
                <w:sz w:val="22"/>
                <w:szCs w:val="22"/>
              </w:rPr>
              <w:t>Association of Mutual Funds in India</w:t>
            </w:r>
          </w:p>
        </w:tc>
        <w:tc>
          <w:tcPr>
            <w:tcW w:w="3550" w:type="dxa"/>
            <w:tcMar>
              <w:top w:w="30" w:type="dxa"/>
              <w:left w:w="60" w:type="dxa"/>
              <w:bottom w:w="30" w:type="dxa"/>
              <w:right w:w="60" w:type="dxa"/>
            </w:tcMar>
            <w:vAlign w:val="center"/>
          </w:tcPr>
          <w:p w14:paraId="49CA8629" w14:textId="77777777" w:rsidR="005A1A06" w:rsidRPr="00E54816" w:rsidRDefault="00000000" w:rsidP="005C403D">
            <w:pPr>
              <w:spacing w:line="276" w:lineRule="auto"/>
              <w:rPr>
                <w:rFonts w:ascii="Calibri" w:hAnsi="Calibri" w:cs="Calibri"/>
                <w:sz w:val="22"/>
                <w:szCs w:val="22"/>
              </w:rPr>
            </w:pPr>
            <w:r w:rsidRPr="00E54816">
              <w:rPr>
                <w:rFonts w:ascii="Calibri" w:eastAsia="Calibri" w:hAnsi="Calibri" w:cs="Calibri"/>
                <w:sz w:val="22"/>
                <w:szCs w:val="22"/>
              </w:rPr>
              <w:t>NAV returns, AUM, net flows, quarterly portfolio holdings (stock-level weights)</w:t>
            </w:r>
          </w:p>
        </w:tc>
        <w:tc>
          <w:tcPr>
            <w:tcW w:w="1150" w:type="dxa"/>
            <w:tcMar>
              <w:top w:w="30" w:type="dxa"/>
              <w:left w:w="60" w:type="dxa"/>
              <w:bottom w:w="30" w:type="dxa"/>
              <w:right w:w="60" w:type="dxa"/>
            </w:tcMar>
            <w:vAlign w:val="center"/>
          </w:tcPr>
          <w:p w14:paraId="7989B3A0" w14:textId="77777777" w:rsidR="005A1A06" w:rsidRPr="00E54816" w:rsidRDefault="00000000" w:rsidP="005C403D">
            <w:pPr>
              <w:spacing w:line="276" w:lineRule="auto"/>
              <w:rPr>
                <w:rFonts w:ascii="Calibri" w:hAnsi="Calibri" w:cs="Calibri"/>
                <w:sz w:val="22"/>
                <w:szCs w:val="22"/>
              </w:rPr>
            </w:pPr>
            <w:r w:rsidRPr="00E54816">
              <w:rPr>
                <w:rFonts w:ascii="Calibri" w:eastAsia="Calibri" w:hAnsi="Calibri" w:cs="Calibri"/>
                <w:sz w:val="22"/>
                <w:szCs w:val="22"/>
              </w:rPr>
              <w:t>Monthly / Quarterly</w:t>
            </w:r>
          </w:p>
        </w:tc>
        <w:tc>
          <w:tcPr>
            <w:tcW w:w="1150" w:type="dxa"/>
            <w:tcMar>
              <w:top w:w="30" w:type="dxa"/>
              <w:left w:w="60" w:type="dxa"/>
              <w:bottom w:w="30" w:type="dxa"/>
              <w:right w:w="60" w:type="dxa"/>
            </w:tcMar>
            <w:vAlign w:val="center"/>
          </w:tcPr>
          <w:p w14:paraId="32BCEE12" w14:textId="77777777" w:rsidR="005A1A06" w:rsidRPr="00E54816" w:rsidRDefault="00000000" w:rsidP="005C403D">
            <w:pPr>
              <w:spacing w:line="276" w:lineRule="auto"/>
              <w:rPr>
                <w:rFonts w:ascii="Calibri" w:hAnsi="Calibri" w:cs="Calibri"/>
                <w:sz w:val="22"/>
                <w:szCs w:val="22"/>
              </w:rPr>
            </w:pPr>
            <w:r w:rsidRPr="00E54816">
              <w:rPr>
                <w:rFonts w:ascii="Calibri" w:eastAsia="Calibri" w:hAnsi="Calibri" w:cs="Calibri"/>
                <w:sz w:val="22"/>
                <w:szCs w:val="22"/>
              </w:rPr>
              <w:t>2018–2023</w:t>
            </w:r>
          </w:p>
        </w:tc>
      </w:tr>
      <w:tr w:rsidR="005A1A06" w:rsidRPr="00E54816" w14:paraId="10471C5F" w14:textId="77777777">
        <w:tc>
          <w:tcPr>
            <w:tcW w:w="1500" w:type="dxa"/>
            <w:tcMar>
              <w:top w:w="30" w:type="dxa"/>
              <w:left w:w="60" w:type="dxa"/>
              <w:bottom w:w="30" w:type="dxa"/>
              <w:right w:w="60" w:type="dxa"/>
            </w:tcMar>
            <w:vAlign w:val="center"/>
          </w:tcPr>
          <w:p w14:paraId="23370DA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MSCI ESG Research</w:t>
            </w:r>
          </w:p>
        </w:tc>
        <w:tc>
          <w:tcPr>
            <w:tcW w:w="2000" w:type="dxa"/>
            <w:tcMar>
              <w:top w:w="30" w:type="dxa"/>
              <w:left w:w="60" w:type="dxa"/>
              <w:bottom w:w="30" w:type="dxa"/>
              <w:right w:w="60" w:type="dxa"/>
            </w:tcMar>
            <w:vAlign w:val="center"/>
          </w:tcPr>
          <w:p w14:paraId="121431EA"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MSCI Inc.</w:t>
            </w:r>
          </w:p>
        </w:tc>
        <w:tc>
          <w:tcPr>
            <w:tcW w:w="3550" w:type="dxa"/>
            <w:tcMar>
              <w:top w:w="30" w:type="dxa"/>
              <w:left w:w="60" w:type="dxa"/>
              <w:bottom w:w="30" w:type="dxa"/>
              <w:right w:w="60" w:type="dxa"/>
            </w:tcMar>
            <w:vAlign w:val="center"/>
          </w:tcPr>
          <w:p w14:paraId="2BCB9ADA"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Corporate ESG scores (E, S, G pillars); rating upgrades/downgrades; controversy flags for NSE 500 constituents</w:t>
            </w:r>
          </w:p>
        </w:tc>
        <w:tc>
          <w:tcPr>
            <w:tcW w:w="1150" w:type="dxa"/>
            <w:tcMar>
              <w:top w:w="30" w:type="dxa"/>
              <w:left w:w="60" w:type="dxa"/>
              <w:bottom w:w="30" w:type="dxa"/>
              <w:right w:w="60" w:type="dxa"/>
            </w:tcMar>
            <w:vAlign w:val="center"/>
          </w:tcPr>
          <w:p w14:paraId="3D00638E"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Monthly</w:t>
            </w:r>
          </w:p>
        </w:tc>
        <w:tc>
          <w:tcPr>
            <w:tcW w:w="1150" w:type="dxa"/>
            <w:tcMar>
              <w:top w:w="30" w:type="dxa"/>
              <w:left w:w="60" w:type="dxa"/>
              <w:bottom w:w="30" w:type="dxa"/>
              <w:right w:w="60" w:type="dxa"/>
            </w:tcMar>
            <w:vAlign w:val="center"/>
          </w:tcPr>
          <w:p w14:paraId="52F80791"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2018–2023</w:t>
            </w:r>
          </w:p>
        </w:tc>
      </w:tr>
      <w:tr w:rsidR="005A1A06" w:rsidRPr="00E54816" w14:paraId="6A8CD5A6" w14:textId="77777777">
        <w:tc>
          <w:tcPr>
            <w:tcW w:w="1500" w:type="dxa"/>
            <w:tcMar>
              <w:top w:w="30" w:type="dxa"/>
              <w:left w:w="60" w:type="dxa"/>
              <w:bottom w:w="30" w:type="dxa"/>
              <w:right w:w="60" w:type="dxa"/>
            </w:tcMar>
            <w:vAlign w:val="center"/>
          </w:tcPr>
          <w:p w14:paraId="1318220F"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Sustainalytics</w:t>
            </w:r>
          </w:p>
        </w:tc>
        <w:tc>
          <w:tcPr>
            <w:tcW w:w="2000" w:type="dxa"/>
            <w:tcMar>
              <w:top w:w="30" w:type="dxa"/>
              <w:left w:w="60" w:type="dxa"/>
              <w:bottom w:w="30" w:type="dxa"/>
              <w:right w:w="60" w:type="dxa"/>
            </w:tcMar>
            <w:vAlign w:val="center"/>
          </w:tcPr>
          <w:p w14:paraId="1FDF601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Morningstar Sustainalytics</w:t>
            </w:r>
          </w:p>
        </w:tc>
        <w:tc>
          <w:tcPr>
            <w:tcW w:w="3550" w:type="dxa"/>
            <w:tcMar>
              <w:top w:w="30" w:type="dxa"/>
              <w:left w:w="60" w:type="dxa"/>
              <w:bottom w:w="30" w:type="dxa"/>
              <w:right w:w="60" w:type="dxa"/>
            </w:tcMar>
            <w:vAlign w:val="center"/>
          </w:tcPr>
          <w:p w14:paraId="5776D0A9"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ESG Risk Ratings; sub-industry peer comparisons; material ESG issues flagging</w:t>
            </w:r>
          </w:p>
        </w:tc>
        <w:tc>
          <w:tcPr>
            <w:tcW w:w="1150" w:type="dxa"/>
            <w:tcMar>
              <w:top w:w="30" w:type="dxa"/>
              <w:left w:w="60" w:type="dxa"/>
              <w:bottom w:w="30" w:type="dxa"/>
              <w:right w:w="60" w:type="dxa"/>
            </w:tcMar>
            <w:vAlign w:val="center"/>
          </w:tcPr>
          <w:p w14:paraId="042FCFF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Monthly</w:t>
            </w:r>
          </w:p>
        </w:tc>
        <w:tc>
          <w:tcPr>
            <w:tcW w:w="1150" w:type="dxa"/>
            <w:tcMar>
              <w:top w:w="30" w:type="dxa"/>
              <w:left w:w="60" w:type="dxa"/>
              <w:bottom w:w="30" w:type="dxa"/>
              <w:right w:w="60" w:type="dxa"/>
            </w:tcMar>
            <w:vAlign w:val="center"/>
          </w:tcPr>
          <w:p w14:paraId="394A1823"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2018–2023</w:t>
            </w:r>
          </w:p>
        </w:tc>
      </w:tr>
      <w:tr w:rsidR="005A1A06" w:rsidRPr="00E54816" w14:paraId="304FD09E" w14:textId="77777777">
        <w:tc>
          <w:tcPr>
            <w:tcW w:w="1500" w:type="dxa"/>
            <w:tcMar>
              <w:top w:w="30" w:type="dxa"/>
              <w:left w:w="60" w:type="dxa"/>
              <w:bottom w:w="30" w:type="dxa"/>
              <w:right w:w="60" w:type="dxa"/>
            </w:tcMar>
            <w:vAlign w:val="center"/>
          </w:tcPr>
          <w:p w14:paraId="37ED2077"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NSE / BSE</w:t>
            </w:r>
          </w:p>
        </w:tc>
        <w:tc>
          <w:tcPr>
            <w:tcW w:w="2000" w:type="dxa"/>
            <w:tcMar>
              <w:top w:w="30" w:type="dxa"/>
              <w:left w:w="60" w:type="dxa"/>
              <w:bottom w:w="30" w:type="dxa"/>
              <w:right w:w="60" w:type="dxa"/>
            </w:tcMar>
            <w:vAlign w:val="center"/>
          </w:tcPr>
          <w:p w14:paraId="1F0342EF"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National / Bombay Stock Exchange</w:t>
            </w:r>
          </w:p>
        </w:tc>
        <w:tc>
          <w:tcPr>
            <w:tcW w:w="3550" w:type="dxa"/>
            <w:tcMar>
              <w:top w:w="30" w:type="dxa"/>
              <w:left w:w="60" w:type="dxa"/>
              <w:bottom w:w="30" w:type="dxa"/>
              <w:right w:w="60" w:type="dxa"/>
            </w:tcMar>
            <w:vAlign w:val="center"/>
          </w:tcPr>
          <w:p w14:paraId="5B2B8C29"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Daily equity prices; index returns (Nifty 50, Nifty 500, sectoral); trading volume</w:t>
            </w:r>
          </w:p>
        </w:tc>
        <w:tc>
          <w:tcPr>
            <w:tcW w:w="1150" w:type="dxa"/>
            <w:tcMar>
              <w:top w:w="30" w:type="dxa"/>
              <w:left w:w="60" w:type="dxa"/>
              <w:bottom w:w="30" w:type="dxa"/>
              <w:right w:w="60" w:type="dxa"/>
            </w:tcMar>
            <w:vAlign w:val="center"/>
          </w:tcPr>
          <w:p w14:paraId="30ACE9B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Daily</w:t>
            </w:r>
          </w:p>
        </w:tc>
        <w:tc>
          <w:tcPr>
            <w:tcW w:w="1150" w:type="dxa"/>
            <w:tcMar>
              <w:top w:w="30" w:type="dxa"/>
              <w:left w:w="60" w:type="dxa"/>
              <w:bottom w:w="30" w:type="dxa"/>
              <w:right w:w="60" w:type="dxa"/>
            </w:tcMar>
            <w:vAlign w:val="center"/>
          </w:tcPr>
          <w:p w14:paraId="748F161A"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2018–2023</w:t>
            </w:r>
          </w:p>
        </w:tc>
      </w:tr>
      <w:tr w:rsidR="005A1A06" w:rsidRPr="00E54816" w14:paraId="4846DC2F" w14:textId="77777777">
        <w:tc>
          <w:tcPr>
            <w:tcW w:w="1500" w:type="dxa"/>
            <w:tcMar>
              <w:top w:w="30" w:type="dxa"/>
              <w:left w:w="60" w:type="dxa"/>
              <w:bottom w:w="30" w:type="dxa"/>
              <w:right w:w="60" w:type="dxa"/>
            </w:tcMar>
            <w:vAlign w:val="center"/>
          </w:tcPr>
          <w:p w14:paraId="010309E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SEBI EDGAR &amp; BRSR</w:t>
            </w:r>
          </w:p>
        </w:tc>
        <w:tc>
          <w:tcPr>
            <w:tcW w:w="2000" w:type="dxa"/>
            <w:tcMar>
              <w:top w:w="30" w:type="dxa"/>
              <w:left w:w="60" w:type="dxa"/>
              <w:bottom w:w="30" w:type="dxa"/>
              <w:right w:w="60" w:type="dxa"/>
            </w:tcMar>
            <w:vAlign w:val="center"/>
          </w:tcPr>
          <w:p w14:paraId="6C9FA7D9"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Securities &amp; Exchange Board of India</w:t>
            </w:r>
          </w:p>
        </w:tc>
        <w:tc>
          <w:tcPr>
            <w:tcW w:w="3550" w:type="dxa"/>
            <w:tcMar>
              <w:top w:w="30" w:type="dxa"/>
              <w:left w:w="60" w:type="dxa"/>
              <w:bottom w:w="30" w:type="dxa"/>
              <w:right w:w="60" w:type="dxa"/>
            </w:tcMar>
            <w:vAlign w:val="center"/>
          </w:tcPr>
          <w:p w14:paraId="43F7343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Regulatory filings; fund offer documents; post-2021 BRSR environmental and social KPIs</w:t>
            </w:r>
          </w:p>
        </w:tc>
        <w:tc>
          <w:tcPr>
            <w:tcW w:w="1150" w:type="dxa"/>
            <w:tcMar>
              <w:top w:w="30" w:type="dxa"/>
              <w:left w:w="60" w:type="dxa"/>
              <w:bottom w:w="30" w:type="dxa"/>
              <w:right w:w="60" w:type="dxa"/>
            </w:tcMar>
            <w:vAlign w:val="center"/>
          </w:tcPr>
          <w:p w14:paraId="7D9B9F4F"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Annual / Ad hoc</w:t>
            </w:r>
          </w:p>
        </w:tc>
        <w:tc>
          <w:tcPr>
            <w:tcW w:w="1150" w:type="dxa"/>
            <w:tcMar>
              <w:top w:w="30" w:type="dxa"/>
              <w:left w:w="60" w:type="dxa"/>
              <w:bottom w:w="30" w:type="dxa"/>
              <w:right w:w="60" w:type="dxa"/>
            </w:tcMar>
            <w:vAlign w:val="center"/>
          </w:tcPr>
          <w:p w14:paraId="563B9EC5"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2021–2023</w:t>
            </w:r>
          </w:p>
        </w:tc>
      </w:tr>
    </w:tbl>
    <w:p w14:paraId="6179D123" w14:textId="77777777" w:rsidR="005A1A06" w:rsidRPr="00E54816" w:rsidRDefault="005A1A06" w:rsidP="003817C0">
      <w:pPr>
        <w:spacing w:before="80" w:line="276" w:lineRule="auto"/>
        <w:rPr>
          <w:rFonts w:ascii="Calibri" w:hAnsi="Calibri" w:cs="Calibri"/>
          <w:sz w:val="22"/>
          <w:szCs w:val="22"/>
        </w:rPr>
      </w:pPr>
    </w:p>
    <w:p w14:paraId="1959124B" w14:textId="77777777" w:rsidR="005A1A06" w:rsidRPr="00E54816" w:rsidRDefault="00000000" w:rsidP="003817C0">
      <w:pPr>
        <w:spacing w:after="70" w:line="276" w:lineRule="auto"/>
        <w:jc w:val="both"/>
        <w:rPr>
          <w:rFonts w:ascii="Calibri" w:hAnsi="Calibri" w:cs="Calibri"/>
          <w:sz w:val="22"/>
          <w:szCs w:val="22"/>
        </w:rPr>
      </w:pPr>
      <w:r w:rsidRPr="00E54816">
        <w:rPr>
          <w:rFonts w:ascii="Calibri" w:eastAsia="Calibri" w:hAnsi="Calibri" w:cs="Calibri"/>
          <w:sz w:val="22"/>
          <w:szCs w:val="22"/>
        </w:rPr>
        <w:t>The treatment sample comprises all SEBI-registered equity ESG funds active at any point during the study window (N≈15–20, including liquidated/merged funds to avoid survivorship bias), each matched to a same-family conventional fund on inception window (±24 months), investment universe, and AUM (±50%). Sector-specific ESG funds and funds with under 24 months of return history are excluded. Table 2 reports descriptive statistics for the resulting 17 matched pairs, confirming that ESG funds are significantly younger, smaller, and higher-ESG-scoring than their conventional counterparts — differences that motivate the family-matching design.</w:t>
      </w:r>
    </w:p>
    <w:p w14:paraId="091F9447" w14:textId="77777777" w:rsidR="005A1A06" w:rsidRPr="00E54816" w:rsidRDefault="00000000" w:rsidP="003817C0">
      <w:pPr>
        <w:spacing w:before="50" w:after="30" w:line="276" w:lineRule="auto"/>
        <w:rPr>
          <w:rFonts w:ascii="Calibri" w:hAnsi="Calibri" w:cs="Calibri"/>
          <w:sz w:val="22"/>
          <w:szCs w:val="22"/>
        </w:rPr>
      </w:pPr>
      <w:r w:rsidRPr="00E54816">
        <w:rPr>
          <w:rFonts w:ascii="Calibri" w:eastAsia="Calibri" w:hAnsi="Calibri" w:cs="Calibri"/>
          <w:i/>
          <w:iCs/>
          <w:sz w:val="22"/>
          <w:szCs w:val="22"/>
        </w:rPr>
        <w:t>Table 2. Descriptive Statistics of ESG vs. Conventional Fund Sample (2018–2023, N = 17 Matched Pairs)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650"/>
        <w:gridCol w:w="1800"/>
        <w:gridCol w:w="1800"/>
        <w:gridCol w:w="1550"/>
        <w:gridCol w:w="1550"/>
      </w:tblGrid>
      <w:tr w:rsidR="005A1A06" w:rsidRPr="00E54816" w14:paraId="445D48FB" w14:textId="77777777">
        <w:trPr>
          <w:tblHeader/>
        </w:trPr>
        <w:tc>
          <w:tcPr>
            <w:tcW w:w="2650" w:type="dxa"/>
            <w:shd w:val="clear" w:color="auto" w:fill="D9E2F3"/>
            <w:tcMar>
              <w:top w:w="30" w:type="dxa"/>
              <w:left w:w="60" w:type="dxa"/>
              <w:bottom w:w="30" w:type="dxa"/>
              <w:right w:w="60" w:type="dxa"/>
            </w:tcMar>
            <w:vAlign w:val="center"/>
          </w:tcPr>
          <w:p w14:paraId="1B8810C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Variable</w:t>
            </w:r>
          </w:p>
        </w:tc>
        <w:tc>
          <w:tcPr>
            <w:tcW w:w="1800" w:type="dxa"/>
            <w:shd w:val="clear" w:color="auto" w:fill="D9E2F3"/>
            <w:tcMar>
              <w:top w:w="30" w:type="dxa"/>
              <w:left w:w="60" w:type="dxa"/>
              <w:bottom w:w="30" w:type="dxa"/>
              <w:right w:w="60" w:type="dxa"/>
            </w:tcMar>
            <w:vAlign w:val="center"/>
          </w:tcPr>
          <w:p w14:paraId="4DF889D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ESG Funds Mean</w:t>
            </w:r>
          </w:p>
        </w:tc>
        <w:tc>
          <w:tcPr>
            <w:tcW w:w="1800" w:type="dxa"/>
            <w:shd w:val="clear" w:color="auto" w:fill="D9E2F3"/>
            <w:tcMar>
              <w:top w:w="30" w:type="dxa"/>
              <w:left w:w="60" w:type="dxa"/>
              <w:bottom w:w="30" w:type="dxa"/>
              <w:right w:w="60" w:type="dxa"/>
            </w:tcMar>
            <w:vAlign w:val="center"/>
          </w:tcPr>
          <w:p w14:paraId="52CCFE5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Conventional Funds Mean</w:t>
            </w:r>
          </w:p>
        </w:tc>
        <w:tc>
          <w:tcPr>
            <w:tcW w:w="1550" w:type="dxa"/>
            <w:shd w:val="clear" w:color="auto" w:fill="D9E2F3"/>
            <w:tcMar>
              <w:top w:w="30" w:type="dxa"/>
              <w:left w:w="60" w:type="dxa"/>
              <w:bottom w:w="30" w:type="dxa"/>
              <w:right w:w="60" w:type="dxa"/>
            </w:tcMar>
            <w:vAlign w:val="center"/>
          </w:tcPr>
          <w:p w14:paraId="1D46CF9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Difference</w:t>
            </w:r>
          </w:p>
        </w:tc>
        <w:tc>
          <w:tcPr>
            <w:tcW w:w="1550" w:type="dxa"/>
            <w:shd w:val="clear" w:color="auto" w:fill="D9E2F3"/>
            <w:tcMar>
              <w:top w:w="30" w:type="dxa"/>
              <w:left w:w="60" w:type="dxa"/>
              <w:bottom w:w="30" w:type="dxa"/>
              <w:right w:w="60" w:type="dxa"/>
            </w:tcMar>
            <w:vAlign w:val="center"/>
          </w:tcPr>
          <w:p w14:paraId="40958D5F"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p-value</w:t>
            </w:r>
          </w:p>
        </w:tc>
      </w:tr>
      <w:tr w:rsidR="005A1A06" w:rsidRPr="00E54816" w14:paraId="3D471AE8" w14:textId="77777777">
        <w:tc>
          <w:tcPr>
            <w:tcW w:w="2650" w:type="dxa"/>
            <w:tcMar>
              <w:top w:w="30" w:type="dxa"/>
              <w:left w:w="60" w:type="dxa"/>
              <w:bottom w:w="30" w:type="dxa"/>
              <w:right w:w="60" w:type="dxa"/>
            </w:tcMar>
            <w:vAlign w:val="center"/>
          </w:tcPr>
          <w:p w14:paraId="49C5AC5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Fund Age (months)</w:t>
            </w:r>
          </w:p>
        </w:tc>
        <w:tc>
          <w:tcPr>
            <w:tcW w:w="1800" w:type="dxa"/>
            <w:tcMar>
              <w:top w:w="30" w:type="dxa"/>
              <w:left w:w="60" w:type="dxa"/>
              <w:bottom w:w="30" w:type="dxa"/>
              <w:right w:w="60" w:type="dxa"/>
            </w:tcMar>
            <w:vAlign w:val="center"/>
          </w:tcPr>
          <w:p w14:paraId="3F7223D5"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43.2 (±18.6)</w:t>
            </w:r>
          </w:p>
        </w:tc>
        <w:tc>
          <w:tcPr>
            <w:tcW w:w="1800" w:type="dxa"/>
            <w:tcMar>
              <w:top w:w="30" w:type="dxa"/>
              <w:left w:w="60" w:type="dxa"/>
              <w:bottom w:w="30" w:type="dxa"/>
              <w:right w:w="60" w:type="dxa"/>
            </w:tcMar>
            <w:vAlign w:val="center"/>
          </w:tcPr>
          <w:p w14:paraId="18D5772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127.4 (±54.3)</w:t>
            </w:r>
          </w:p>
        </w:tc>
        <w:tc>
          <w:tcPr>
            <w:tcW w:w="1550" w:type="dxa"/>
            <w:tcMar>
              <w:top w:w="30" w:type="dxa"/>
              <w:left w:w="60" w:type="dxa"/>
              <w:bottom w:w="30" w:type="dxa"/>
              <w:right w:w="60" w:type="dxa"/>
            </w:tcMar>
            <w:vAlign w:val="center"/>
          </w:tcPr>
          <w:p w14:paraId="5047CACF"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−84.2***</w:t>
            </w:r>
          </w:p>
        </w:tc>
        <w:tc>
          <w:tcPr>
            <w:tcW w:w="1550" w:type="dxa"/>
            <w:tcMar>
              <w:top w:w="30" w:type="dxa"/>
              <w:left w:w="60" w:type="dxa"/>
              <w:bottom w:w="30" w:type="dxa"/>
              <w:right w:w="60" w:type="dxa"/>
            </w:tcMar>
            <w:vAlign w:val="center"/>
          </w:tcPr>
          <w:p w14:paraId="6D3C4C46"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&lt;0.001</w:t>
            </w:r>
          </w:p>
        </w:tc>
      </w:tr>
      <w:tr w:rsidR="005A1A06" w:rsidRPr="00E54816" w14:paraId="08BB8C1A" w14:textId="77777777">
        <w:tc>
          <w:tcPr>
            <w:tcW w:w="2650" w:type="dxa"/>
            <w:tcMar>
              <w:top w:w="30" w:type="dxa"/>
              <w:left w:w="60" w:type="dxa"/>
              <w:bottom w:w="30" w:type="dxa"/>
              <w:right w:w="60" w:type="dxa"/>
            </w:tcMar>
            <w:vAlign w:val="center"/>
          </w:tcPr>
          <w:p w14:paraId="6BE00B53"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AUM (₹ crores, end-period)</w:t>
            </w:r>
          </w:p>
        </w:tc>
        <w:tc>
          <w:tcPr>
            <w:tcW w:w="1800" w:type="dxa"/>
            <w:tcMar>
              <w:top w:w="30" w:type="dxa"/>
              <w:left w:w="60" w:type="dxa"/>
              <w:bottom w:w="30" w:type="dxa"/>
              <w:right w:w="60" w:type="dxa"/>
            </w:tcMar>
            <w:vAlign w:val="center"/>
          </w:tcPr>
          <w:p w14:paraId="0D1F4F37"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1,423 (±986)</w:t>
            </w:r>
          </w:p>
        </w:tc>
        <w:tc>
          <w:tcPr>
            <w:tcW w:w="1800" w:type="dxa"/>
            <w:tcMar>
              <w:top w:w="30" w:type="dxa"/>
              <w:left w:w="60" w:type="dxa"/>
              <w:bottom w:w="30" w:type="dxa"/>
              <w:right w:w="60" w:type="dxa"/>
            </w:tcMar>
            <w:vAlign w:val="center"/>
          </w:tcPr>
          <w:p w14:paraId="052E9F5D"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4,817 (±3,204)</w:t>
            </w:r>
          </w:p>
        </w:tc>
        <w:tc>
          <w:tcPr>
            <w:tcW w:w="1550" w:type="dxa"/>
            <w:tcMar>
              <w:top w:w="30" w:type="dxa"/>
              <w:left w:w="60" w:type="dxa"/>
              <w:bottom w:w="30" w:type="dxa"/>
              <w:right w:w="60" w:type="dxa"/>
            </w:tcMar>
            <w:vAlign w:val="center"/>
          </w:tcPr>
          <w:p w14:paraId="68A476F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−3,394***</w:t>
            </w:r>
          </w:p>
        </w:tc>
        <w:tc>
          <w:tcPr>
            <w:tcW w:w="1550" w:type="dxa"/>
            <w:tcMar>
              <w:top w:w="30" w:type="dxa"/>
              <w:left w:w="60" w:type="dxa"/>
              <w:bottom w:w="30" w:type="dxa"/>
              <w:right w:w="60" w:type="dxa"/>
            </w:tcMar>
            <w:vAlign w:val="center"/>
          </w:tcPr>
          <w:p w14:paraId="0874ED2D"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&lt;0.001</w:t>
            </w:r>
          </w:p>
        </w:tc>
      </w:tr>
      <w:tr w:rsidR="005A1A06" w:rsidRPr="00E54816" w14:paraId="56EEC97A" w14:textId="77777777">
        <w:tc>
          <w:tcPr>
            <w:tcW w:w="2650" w:type="dxa"/>
            <w:tcMar>
              <w:top w:w="30" w:type="dxa"/>
              <w:left w:w="60" w:type="dxa"/>
              <w:bottom w:w="30" w:type="dxa"/>
              <w:right w:w="60" w:type="dxa"/>
            </w:tcMar>
            <w:vAlign w:val="center"/>
          </w:tcPr>
          <w:p w14:paraId="1DFA7021"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Expense Ratio (%)</w:t>
            </w:r>
          </w:p>
        </w:tc>
        <w:tc>
          <w:tcPr>
            <w:tcW w:w="1800" w:type="dxa"/>
            <w:tcMar>
              <w:top w:w="30" w:type="dxa"/>
              <w:left w:w="60" w:type="dxa"/>
              <w:bottom w:w="30" w:type="dxa"/>
              <w:right w:w="60" w:type="dxa"/>
            </w:tcMar>
            <w:vAlign w:val="center"/>
          </w:tcPr>
          <w:p w14:paraId="2BAC5BAF"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0.78 (±0.21)</w:t>
            </w:r>
          </w:p>
        </w:tc>
        <w:tc>
          <w:tcPr>
            <w:tcW w:w="1800" w:type="dxa"/>
            <w:tcMar>
              <w:top w:w="30" w:type="dxa"/>
              <w:left w:w="60" w:type="dxa"/>
              <w:bottom w:w="30" w:type="dxa"/>
              <w:right w:w="60" w:type="dxa"/>
            </w:tcMar>
            <w:vAlign w:val="center"/>
          </w:tcPr>
          <w:p w14:paraId="0E461D2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0.67 (±0.18)</w:t>
            </w:r>
          </w:p>
        </w:tc>
        <w:tc>
          <w:tcPr>
            <w:tcW w:w="1550" w:type="dxa"/>
            <w:tcMar>
              <w:top w:w="30" w:type="dxa"/>
              <w:left w:w="60" w:type="dxa"/>
              <w:bottom w:w="30" w:type="dxa"/>
              <w:right w:w="60" w:type="dxa"/>
            </w:tcMar>
            <w:vAlign w:val="center"/>
          </w:tcPr>
          <w:p w14:paraId="32D9D73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+0.11**</w:t>
            </w:r>
          </w:p>
        </w:tc>
        <w:tc>
          <w:tcPr>
            <w:tcW w:w="1550" w:type="dxa"/>
            <w:tcMar>
              <w:top w:w="30" w:type="dxa"/>
              <w:left w:w="60" w:type="dxa"/>
              <w:bottom w:w="30" w:type="dxa"/>
              <w:right w:w="60" w:type="dxa"/>
            </w:tcMar>
            <w:vAlign w:val="center"/>
          </w:tcPr>
          <w:p w14:paraId="6A22DFC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0.031</w:t>
            </w:r>
          </w:p>
        </w:tc>
      </w:tr>
      <w:tr w:rsidR="005A1A06" w:rsidRPr="00E54816" w14:paraId="60C02927" w14:textId="77777777">
        <w:tc>
          <w:tcPr>
            <w:tcW w:w="2650" w:type="dxa"/>
            <w:tcMar>
              <w:top w:w="30" w:type="dxa"/>
              <w:left w:w="60" w:type="dxa"/>
              <w:bottom w:w="30" w:type="dxa"/>
              <w:right w:w="60" w:type="dxa"/>
            </w:tcMar>
            <w:vAlign w:val="center"/>
          </w:tcPr>
          <w:p w14:paraId="21B42969"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Portfolio Turnover (%)</w:t>
            </w:r>
          </w:p>
        </w:tc>
        <w:tc>
          <w:tcPr>
            <w:tcW w:w="1800" w:type="dxa"/>
            <w:tcMar>
              <w:top w:w="30" w:type="dxa"/>
              <w:left w:w="60" w:type="dxa"/>
              <w:bottom w:w="30" w:type="dxa"/>
              <w:right w:w="60" w:type="dxa"/>
            </w:tcMar>
            <w:vAlign w:val="center"/>
          </w:tcPr>
          <w:p w14:paraId="17A55DB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68.4 (±24.7)</w:t>
            </w:r>
          </w:p>
        </w:tc>
        <w:tc>
          <w:tcPr>
            <w:tcW w:w="1800" w:type="dxa"/>
            <w:tcMar>
              <w:top w:w="30" w:type="dxa"/>
              <w:left w:w="60" w:type="dxa"/>
              <w:bottom w:w="30" w:type="dxa"/>
              <w:right w:w="60" w:type="dxa"/>
            </w:tcMar>
            <w:vAlign w:val="center"/>
          </w:tcPr>
          <w:p w14:paraId="3E07F9C9"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82.1 (±31.6)</w:t>
            </w:r>
          </w:p>
        </w:tc>
        <w:tc>
          <w:tcPr>
            <w:tcW w:w="1550" w:type="dxa"/>
            <w:tcMar>
              <w:top w:w="30" w:type="dxa"/>
              <w:left w:w="60" w:type="dxa"/>
              <w:bottom w:w="30" w:type="dxa"/>
              <w:right w:w="60" w:type="dxa"/>
            </w:tcMar>
            <w:vAlign w:val="center"/>
          </w:tcPr>
          <w:p w14:paraId="53066D7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−13.7**</w:t>
            </w:r>
          </w:p>
        </w:tc>
        <w:tc>
          <w:tcPr>
            <w:tcW w:w="1550" w:type="dxa"/>
            <w:tcMar>
              <w:top w:w="30" w:type="dxa"/>
              <w:left w:w="60" w:type="dxa"/>
              <w:bottom w:w="30" w:type="dxa"/>
              <w:right w:w="60" w:type="dxa"/>
            </w:tcMar>
            <w:vAlign w:val="center"/>
          </w:tcPr>
          <w:p w14:paraId="38A3033E"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0.042</w:t>
            </w:r>
          </w:p>
        </w:tc>
      </w:tr>
      <w:tr w:rsidR="005A1A06" w:rsidRPr="00E54816" w14:paraId="6D72FEDE" w14:textId="77777777">
        <w:tc>
          <w:tcPr>
            <w:tcW w:w="2650" w:type="dxa"/>
            <w:tcMar>
              <w:top w:w="30" w:type="dxa"/>
              <w:left w:w="60" w:type="dxa"/>
              <w:bottom w:w="30" w:type="dxa"/>
              <w:right w:w="60" w:type="dxa"/>
            </w:tcMar>
            <w:vAlign w:val="center"/>
          </w:tcPr>
          <w:p w14:paraId="46F7AFE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Weighted Avg. ESG Score (MSCI)</w:t>
            </w:r>
          </w:p>
        </w:tc>
        <w:tc>
          <w:tcPr>
            <w:tcW w:w="1800" w:type="dxa"/>
            <w:tcMar>
              <w:top w:w="30" w:type="dxa"/>
              <w:left w:w="60" w:type="dxa"/>
              <w:bottom w:w="30" w:type="dxa"/>
              <w:right w:w="60" w:type="dxa"/>
            </w:tcMar>
            <w:vAlign w:val="center"/>
          </w:tcPr>
          <w:p w14:paraId="27234E77"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5.84 (±0.63)</w:t>
            </w:r>
          </w:p>
        </w:tc>
        <w:tc>
          <w:tcPr>
            <w:tcW w:w="1800" w:type="dxa"/>
            <w:tcMar>
              <w:top w:w="30" w:type="dxa"/>
              <w:left w:w="60" w:type="dxa"/>
              <w:bottom w:w="30" w:type="dxa"/>
              <w:right w:w="60" w:type="dxa"/>
            </w:tcMar>
            <w:vAlign w:val="center"/>
          </w:tcPr>
          <w:p w14:paraId="1085EB26"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4.91 (±0.58)</w:t>
            </w:r>
          </w:p>
        </w:tc>
        <w:tc>
          <w:tcPr>
            <w:tcW w:w="1550" w:type="dxa"/>
            <w:tcMar>
              <w:top w:w="30" w:type="dxa"/>
              <w:left w:w="60" w:type="dxa"/>
              <w:bottom w:w="30" w:type="dxa"/>
              <w:right w:w="60" w:type="dxa"/>
            </w:tcMar>
            <w:vAlign w:val="center"/>
          </w:tcPr>
          <w:p w14:paraId="7C9AC1F4"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+0.93***</w:t>
            </w:r>
          </w:p>
        </w:tc>
        <w:tc>
          <w:tcPr>
            <w:tcW w:w="1550" w:type="dxa"/>
            <w:tcMar>
              <w:top w:w="30" w:type="dxa"/>
              <w:left w:w="60" w:type="dxa"/>
              <w:bottom w:w="30" w:type="dxa"/>
              <w:right w:w="60" w:type="dxa"/>
            </w:tcMar>
            <w:vAlign w:val="center"/>
          </w:tcPr>
          <w:p w14:paraId="580FB3D6"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&lt;0.001</w:t>
            </w:r>
          </w:p>
        </w:tc>
      </w:tr>
      <w:tr w:rsidR="005A1A06" w:rsidRPr="00E54816" w14:paraId="6E67E124" w14:textId="77777777">
        <w:tc>
          <w:tcPr>
            <w:tcW w:w="2650" w:type="dxa"/>
            <w:tcMar>
              <w:top w:w="30" w:type="dxa"/>
              <w:left w:w="60" w:type="dxa"/>
              <w:bottom w:w="30" w:type="dxa"/>
              <w:right w:w="60" w:type="dxa"/>
            </w:tcMar>
            <w:vAlign w:val="center"/>
          </w:tcPr>
          <w:p w14:paraId="6FA87A97"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Carbon Intensity (</w:t>
            </w:r>
            <w:proofErr w:type="spellStart"/>
            <w:r w:rsidRPr="00E54816">
              <w:rPr>
                <w:rFonts w:ascii="Calibri" w:eastAsia="Calibri" w:hAnsi="Calibri" w:cs="Calibri"/>
                <w:sz w:val="22"/>
                <w:szCs w:val="22"/>
              </w:rPr>
              <w:t>tCO</w:t>
            </w:r>
            <w:proofErr w:type="spellEnd"/>
            <w:r w:rsidRPr="00E54816">
              <w:rPr>
                <w:rFonts w:ascii="Calibri" w:eastAsia="Calibri" w:hAnsi="Calibri" w:cs="Calibri"/>
                <w:sz w:val="22"/>
                <w:szCs w:val="22"/>
              </w:rPr>
              <w:t>₂/US$M rev)</w:t>
            </w:r>
          </w:p>
        </w:tc>
        <w:tc>
          <w:tcPr>
            <w:tcW w:w="1800" w:type="dxa"/>
            <w:tcMar>
              <w:top w:w="30" w:type="dxa"/>
              <w:left w:w="60" w:type="dxa"/>
              <w:bottom w:w="30" w:type="dxa"/>
              <w:right w:w="60" w:type="dxa"/>
            </w:tcMar>
            <w:vAlign w:val="center"/>
          </w:tcPr>
          <w:p w14:paraId="2D73DB15"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187.3 (±64.2)</w:t>
            </w:r>
          </w:p>
        </w:tc>
        <w:tc>
          <w:tcPr>
            <w:tcW w:w="1800" w:type="dxa"/>
            <w:tcMar>
              <w:top w:w="30" w:type="dxa"/>
              <w:left w:w="60" w:type="dxa"/>
              <w:bottom w:w="30" w:type="dxa"/>
              <w:right w:w="60" w:type="dxa"/>
            </w:tcMar>
            <w:vAlign w:val="center"/>
          </w:tcPr>
          <w:p w14:paraId="50A88194"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241.6 (±88.5)</w:t>
            </w:r>
          </w:p>
        </w:tc>
        <w:tc>
          <w:tcPr>
            <w:tcW w:w="1550" w:type="dxa"/>
            <w:tcMar>
              <w:top w:w="30" w:type="dxa"/>
              <w:left w:w="60" w:type="dxa"/>
              <w:bottom w:w="30" w:type="dxa"/>
              <w:right w:w="60" w:type="dxa"/>
            </w:tcMar>
            <w:vAlign w:val="center"/>
          </w:tcPr>
          <w:p w14:paraId="6B7FF98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−54.3***</w:t>
            </w:r>
          </w:p>
        </w:tc>
        <w:tc>
          <w:tcPr>
            <w:tcW w:w="1550" w:type="dxa"/>
            <w:tcMar>
              <w:top w:w="30" w:type="dxa"/>
              <w:left w:w="60" w:type="dxa"/>
              <w:bottom w:w="30" w:type="dxa"/>
              <w:right w:w="60" w:type="dxa"/>
            </w:tcMar>
            <w:vAlign w:val="center"/>
          </w:tcPr>
          <w:p w14:paraId="2793DBE6"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&lt;0.001</w:t>
            </w:r>
          </w:p>
        </w:tc>
      </w:tr>
    </w:tbl>
    <w:p w14:paraId="22351312" w14:textId="77777777" w:rsidR="005A1A06" w:rsidRPr="00E54816" w:rsidRDefault="005A1A06" w:rsidP="003817C0">
      <w:pPr>
        <w:spacing w:before="80" w:line="276" w:lineRule="auto"/>
        <w:rPr>
          <w:rFonts w:ascii="Calibri" w:hAnsi="Calibri" w:cs="Calibri"/>
          <w:sz w:val="22"/>
          <w:szCs w:val="22"/>
        </w:rPr>
      </w:pPr>
    </w:p>
    <w:p w14:paraId="69297014" w14:textId="77777777" w:rsidR="005A1A06" w:rsidRPr="00E54816" w:rsidRDefault="00000000" w:rsidP="003817C0">
      <w:pPr>
        <w:spacing w:after="70" w:line="276" w:lineRule="auto"/>
        <w:jc w:val="both"/>
        <w:rPr>
          <w:rFonts w:ascii="Calibri" w:hAnsi="Calibri" w:cs="Calibri"/>
          <w:sz w:val="22"/>
          <w:szCs w:val="22"/>
        </w:rPr>
      </w:pPr>
      <w:r w:rsidRPr="00E54816">
        <w:rPr>
          <w:rFonts w:ascii="Calibri" w:eastAsia="Calibri" w:hAnsi="Calibri" w:cs="Calibri"/>
          <w:sz w:val="22"/>
          <w:szCs w:val="22"/>
        </w:rPr>
        <w:t>Each hypothesis is tested with a dedicated primary method, core model, data source, and robustness protocol, summarised in Table 3. Performance (H1) is estimated via an India-augmented Carhart five-factor alpha model [4] with Newey–West HAC-corrected errors; flows (H2) via an Arellano–Bond system-GMM estimator [2] and an event study of cumulative abnormal flows around ESG rating-change announcements; greenwashing (H3) via paired-sample tests, a holdings-based Greenwashing Index, and a regression discontinuity design (RDD) around the April 2021 BRSR cutoff; and the valuation premium, or “</w:t>
      </w:r>
      <w:proofErr w:type="spellStart"/>
      <w:r w:rsidRPr="00E54816">
        <w:rPr>
          <w:rFonts w:ascii="Calibri" w:eastAsia="Calibri" w:hAnsi="Calibri" w:cs="Calibri"/>
          <w:sz w:val="22"/>
          <w:szCs w:val="22"/>
        </w:rPr>
        <w:t>greenium</w:t>
      </w:r>
      <w:proofErr w:type="spellEnd"/>
      <w:r w:rsidRPr="00E54816">
        <w:rPr>
          <w:rFonts w:ascii="Calibri" w:eastAsia="Calibri" w:hAnsi="Calibri" w:cs="Calibri"/>
          <w:sz w:val="22"/>
          <w:szCs w:val="22"/>
        </w:rPr>
        <w:t>” (H4), via sector-neutralised panel P/E and P/B regression and a difference-in-differences (</w:t>
      </w:r>
      <w:proofErr w:type="spellStart"/>
      <w:r w:rsidRPr="00E54816">
        <w:rPr>
          <w:rFonts w:ascii="Calibri" w:eastAsia="Calibri" w:hAnsi="Calibri" w:cs="Calibri"/>
          <w:sz w:val="22"/>
          <w:szCs w:val="22"/>
        </w:rPr>
        <w:t>DiD</w:t>
      </w:r>
      <w:proofErr w:type="spellEnd"/>
      <w:r w:rsidRPr="00E54816">
        <w:rPr>
          <w:rFonts w:ascii="Calibri" w:eastAsia="Calibri" w:hAnsi="Calibri" w:cs="Calibri"/>
          <w:sz w:val="22"/>
          <w:szCs w:val="22"/>
        </w:rPr>
        <w:t>) design exploiting the same BRSR natural experiment.</w:t>
      </w:r>
    </w:p>
    <w:p w14:paraId="75BDA799" w14:textId="77777777" w:rsidR="005A1A06" w:rsidRPr="00E54816" w:rsidRDefault="00000000" w:rsidP="003817C0">
      <w:pPr>
        <w:spacing w:before="50" w:after="30" w:line="276" w:lineRule="auto"/>
        <w:rPr>
          <w:rFonts w:ascii="Calibri" w:hAnsi="Calibri" w:cs="Calibri"/>
          <w:sz w:val="22"/>
          <w:szCs w:val="22"/>
        </w:rPr>
      </w:pPr>
      <w:r w:rsidRPr="00E54816">
        <w:rPr>
          <w:rFonts w:ascii="Calibri" w:eastAsia="Calibri" w:hAnsi="Calibri" w:cs="Calibri"/>
          <w:i/>
          <w:iCs/>
          <w:sz w:val="22"/>
          <w:szCs w:val="22"/>
        </w:rPr>
        <w:t>Table 3. Hypothesis–Method–Robustness Mapping</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539"/>
        <w:gridCol w:w="1698"/>
        <w:gridCol w:w="2068"/>
        <w:gridCol w:w="1897"/>
        <w:gridCol w:w="2148"/>
      </w:tblGrid>
      <w:tr w:rsidR="005A1A06" w:rsidRPr="00E54816" w14:paraId="1E60B21E" w14:textId="77777777">
        <w:trPr>
          <w:tblHeader/>
        </w:trPr>
        <w:tc>
          <w:tcPr>
            <w:tcW w:w="1300" w:type="dxa"/>
            <w:shd w:val="clear" w:color="auto" w:fill="D9E2F3"/>
            <w:tcMar>
              <w:top w:w="30" w:type="dxa"/>
              <w:left w:w="60" w:type="dxa"/>
              <w:bottom w:w="30" w:type="dxa"/>
              <w:right w:w="60" w:type="dxa"/>
            </w:tcMar>
            <w:vAlign w:val="center"/>
          </w:tcPr>
          <w:p w14:paraId="07D38DD9"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Hypothesis</w:t>
            </w:r>
          </w:p>
        </w:tc>
        <w:tc>
          <w:tcPr>
            <w:tcW w:w="1750" w:type="dxa"/>
            <w:shd w:val="clear" w:color="auto" w:fill="D9E2F3"/>
            <w:tcMar>
              <w:top w:w="30" w:type="dxa"/>
              <w:left w:w="60" w:type="dxa"/>
              <w:bottom w:w="30" w:type="dxa"/>
              <w:right w:w="60" w:type="dxa"/>
            </w:tcMar>
            <w:vAlign w:val="center"/>
          </w:tcPr>
          <w:p w14:paraId="59F57BA6"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Primary Method</w:t>
            </w:r>
          </w:p>
        </w:tc>
        <w:tc>
          <w:tcPr>
            <w:tcW w:w="2150" w:type="dxa"/>
            <w:shd w:val="clear" w:color="auto" w:fill="D9E2F3"/>
            <w:tcMar>
              <w:top w:w="30" w:type="dxa"/>
              <w:left w:w="60" w:type="dxa"/>
              <w:bottom w:w="30" w:type="dxa"/>
              <w:right w:w="60" w:type="dxa"/>
            </w:tcMar>
            <w:vAlign w:val="center"/>
          </w:tcPr>
          <w:p w14:paraId="39956386"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Core Model / Test</w:t>
            </w:r>
          </w:p>
        </w:tc>
        <w:tc>
          <w:tcPr>
            <w:tcW w:w="1900" w:type="dxa"/>
            <w:shd w:val="clear" w:color="auto" w:fill="D9E2F3"/>
            <w:tcMar>
              <w:top w:w="30" w:type="dxa"/>
              <w:left w:w="60" w:type="dxa"/>
              <w:bottom w:w="30" w:type="dxa"/>
              <w:right w:w="60" w:type="dxa"/>
            </w:tcMar>
            <w:vAlign w:val="center"/>
          </w:tcPr>
          <w:p w14:paraId="3317EBD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Key Data Source</w:t>
            </w:r>
          </w:p>
        </w:tc>
        <w:tc>
          <w:tcPr>
            <w:tcW w:w="2250" w:type="dxa"/>
            <w:shd w:val="clear" w:color="auto" w:fill="D9E2F3"/>
            <w:tcMar>
              <w:top w:w="30" w:type="dxa"/>
              <w:left w:w="60" w:type="dxa"/>
              <w:bottom w:w="30" w:type="dxa"/>
              <w:right w:w="60" w:type="dxa"/>
            </w:tcMar>
            <w:vAlign w:val="center"/>
          </w:tcPr>
          <w:p w14:paraId="37BE662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Robustness Protocols</w:t>
            </w:r>
          </w:p>
        </w:tc>
      </w:tr>
      <w:tr w:rsidR="005A1A06" w:rsidRPr="00E54816" w14:paraId="21BF0C4B" w14:textId="77777777">
        <w:tc>
          <w:tcPr>
            <w:tcW w:w="1300" w:type="dxa"/>
            <w:tcMar>
              <w:top w:w="30" w:type="dxa"/>
              <w:left w:w="60" w:type="dxa"/>
              <w:bottom w:w="30" w:type="dxa"/>
              <w:right w:w="60" w:type="dxa"/>
            </w:tcMar>
            <w:vAlign w:val="center"/>
          </w:tcPr>
          <w:p w14:paraId="7E9DF03A"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H1 (Performance)</w:t>
            </w:r>
          </w:p>
        </w:tc>
        <w:tc>
          <w:tcPr>
            <w:tcW w:w="1750" w:type="dxa"/>
            <w:tcMar>
              <w:top w:w="30" w:type="dxa"/>
              <w:left w:w="60" w:type="dxa"/>
              <w:bottom w:w="30" w:type="dxa"/>
              <w:right w:w="60" w:type="dxa"/>
            </w:tcMar>
            <w:vAlign w:val="center"/>
          </w:tcPr>
          <w:p w14:paraId="0C15DE47"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Five-factor alpha + performance ratio analysis</w:t>
            </w:r>
          </w:p>
        </w:tc>
        <w:tc>
          <w:tcPr>
            <w:tcW w:w="2150" w:type="dxa"/>
            <w:tcMar>
              <w:top w:w="30" w:type="dxa"/>
              <w:left w:w="60" w:type="dxa"/>
              <w:bottom w:w="30" w:type="dxa"/>
              <w:right w:w="60" w:type="dxa"/>
            </w:tcMar>
            <w:vAlign w:val="center"/>
          </w:tcPr>
          <w:p w14:paraId="3DFD115A"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Carhart + ESG factor OLS-HAC; Sharpe / Sortino / IR</w:t>
            </w:r>
          </w:p>
        </w:tc>
        <w:tc>
          <w:tcPr>
            <w:tcW w:w="1900" w:type="dxa"/>
            <w:tcMar>
              <w:top w:w="30" w:type="dxa"/>
              <w:left w:w="60" w:type="dxa"/>
              <w:bottom w:w="30" w:type="dxa"/>
              <w:right w:w="60" w:type="dxa"/>
            </w:tcMar>
            <w:vAlign w:val="center"/>
          </w:tcPr>
          <w:p w14:paraId="308F6F15"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AMFI NAV; NSE/BSE prices</w:t>
            </w:r>
          </w:p>
        </w:tc>
        <w:tc>
          <w:tcPr>
            <w:tcW w:w="2250" w:type="dxa"/>
            <w:tcMar>
              <w:top w:w="30" w:type="dxa"/>
              <w:left w:w="60" w:type="dxa"/>
              <w:bottom w:w="30" w:type="dxa"/>
              <w:right w:w="60" w:type="dxa"/>
            </w:tcMar>
            <w:vAlign w:val="center"/>
          </w:tcPr>
          <w:p w14:paraId="09A533C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Bootstrap (10,000); Fama-MacBeth; pre/post-BRSR split</w:t>
            </w:r>
          </w:p>
        </w:tc>
      </w:tr>
      <w:tr w:rsidR="005A1A06" w:rsidRPr="00E54816" w14:paraId="541E70AB" w14:textId="77777777">
        <w:tc>
          <w:tcPr>
            <w:tcW w:w="1300" w:type="dxa"/>
            <w:tcMar>
              <w:top w:w="30" w:type="dxa"/>
              <w:left w:w="60" w:type="dxa"/>
              <w:bottom w:w="30" w:type="dxa"/>
              <w:right w:w="60" w:type="dxa"/>
            </w:tcMar>
            <w:vAlign w:val="center"/>
          </w:tcPr>
          <w:p w14:paraId="39474DE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H2 (Flows)</w:t>
            </w:r>
          </w:p>
        </w:tc>
        <w:tc>
          <w:tcPr>
            <w:tcW w:w="1750" w:type="dxa"/>
            <w:tcMar>
              <w:top w:w="30" w:type="dxa"/>
              <w:left w:w="60" w:type="dxa"/>
              <w:bottom w:w="30" w:type="dxa"/>
              <w:right w:w="60" w:type="dxa"/>
            </w:tcMar>
            <w:vAlign w:val="center"/>
          </w:tcPr>
          <w:p w14:paraId="7F8524CE"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Dynamic panel GMM + event study</w:t>
            </w:r>
          </w:p>
        </w:tc>
        <w:tc>
          <w:tcPr>
            <w:tcW w:w="2150" w:type="dxa"/>
            <w:tcMar>
              <w:top w:w="30" w:type="dxa"/>
              <w:left w:w="60" w:type="dxa"/>
              <w:bottom w:w="30" w:type="dxa"/>
              <w:right w:w="60" w:type="dxa"/>
            </w:tcMar>
            <w:vAlign w:val="center"/>
          </w:tcPr>
          <w:p w14:paraId="31E1FD61"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Arellano-Bond GMM; CAF [−3, +6] months</w:t>
            </w:r>
          </w:p>
        </w:tc>
        <w:tc>
          <w:tcPr>
            <w:tcW w:w="1900" w:type="dxa"/>
            <w:tcMar>
              <w:top w:w="30" w:type="dxa"/>
              <w:left w:w="60" w:type="dxa"/>
              <w:bottom w:w="30" w:type="dxa"/>
              <w:right w:w="60" w:type="dxa"/>
            </w:tcMar>
            <w:vAlign w:val="center"/>
          </w:tcPr>
          <w:p w14:paraId="45C2468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AMFI flows; MSCI/Sustainalytics ratings</w:t>
            </w:r>
          </w:p>
        </w:tc>
        <w:tc>
          <w:tcPr>
            <w:tcW w:w="2250" w:type="dxa"/>
            <w:tcMar>
              <w:top w:w="30" w:type="dxa"/>
              <w:left w:w="60" w:type="dxa"/>
              <w:bottom w:w="30" w:type="dxa"/>
              <w:right w:w="60" w:type="dxa"/>
            </w:tcMar>
            <w:vAlign w:val="center"/>
          </w:tcPr>
          <w:p w14:paraId="4918B68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Retail vs. advisor split; Google Trends moderator</w:t>
            </w:r>
          </w:p>
        </w:tc>
      </w:tr>
      <w:tr w:rsidR="005A1A06" w:rsidRPr="00E54816" w14:paraId="1189EFD6" w14:textId="77777777">
        <w:tc>
          <w:tcPr>
            <w:tcW w:w="1300" w:type="dxa"/>
            <w:tcMar>
              <w:top w:w="30" w:type="dxa"/>
              <w:left w:w="60" w:type="dxa"/>
              <w:bottom w:w="30" w:type="dxa"/>
              <w:right w:w="60" w:type="dxa"/>
            </w:tcMar>
            <w:vAlign w:val="center"/>
          </w:tcPr>
          <w:p w14:paraId="2ED528FD"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H3 (Greenwashing)</w:t>
            </w:r>
          </w:p>
        </w:tc>
        <w:tc>
          <w:tcPr>
            <w:tcW w:w="1750" w:type="dxa"/>
            <w:tcMar>
              <w:top w:w="30" w:type="dxa"/>
              <w:left w:w="60" w:type="dxa"/>
              <w:bottom w:w="30" w:type="dxa"/>
              <w:right w:w="60" w:type="dxa"/>
            </w:tcMar>
            <w:vAlign w:val="center"/>
          </w:tcPr>
          <w:p w14:paraId="429235B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 xml:space="preserve">Portfolio ESG score </w:t>
            </w:r>
            <w:r w:rsidRPr="00E54816">
              <w:rPr>
                <w:rFonts w:ascii="Calibri" w:eastAsia="Calibri" w:hAnsi="Calibri" w:cs="Calibri"/>
                <w:sz w:val="22"/>
                <w:szCs w:val="22"/>
              </w:rPr>
              <w:lastRenderedPageBreak/>
              <w:t>comparison + RDD</w:t>
            </w:r>
          </w:p>
        </w:tc>
        <w:tc>
          <w:tcPr>
            <w:tcW w:w="2150" w:type="dxa"/>
            <w:tcMar>
              <w:top w:w="30" w:type="dxa"/>
              <w:left w:w="60" w:type="dxa"/>
              <w:bottom w:w="30" w:type="dxa"/>
              <w:right w:w="60" w:type="dxa"/>
            </w:tcMar>
            <w:vAlign w:val="center"/>
          </w:tcPr>
          <w:p w14:paraId="7E23BC71"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lastRenderedPageBreak/>
              <w:t xml:space="preserve">Paired t-test; Wilcoxon; </w:t>
            </w:r>
            <w:r w:rsidRPr="00E54816">
              <w:rPr>
                <w:rFonts w:ascii="Calibri" w:eastAsia="Calibri" w:hAnsi="Calibri" w:cs="Calibri"/>
                <w:sz w:val="22"/>
                <w:szCs w:val="22"/>
              </w:rPr>
              <w:lastRenderedPageBreak/>
              <w:t>Greenwashing Index; RDD (BRSR 2021)</w:t>
            </w:r>
          </w:p>
        </w:tc>
        <w:tc>
          <w:tcPr>
            <w:tcW w:w="1900" w:type="dxa"/>
            <w:tcMar>
              <w:top w:w="30" w:type="dxa"/>
              <w:left w:w="60" w:type="dxa"/>
              <w:bottom w:w="30" w:type="dxa"/>
              <w:right w:w="60" w:type="dxa"/>
            </w:tcMar>
            <w:vAlign w:val="center"/>
          </w:tcPr>
          <w:p w14:paraId="3C012AC5"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lastRenderedPageBreak/>
              <w:t>AMFI holdings; MSCI; Sustainalytics; BRSR</w:t>
            </w:r>
          </w:p>
        </w:tc>
        <w:tc>
          <w:tcPr>
            <w:tcW w:w="2250" w:type="dxa"/>
            <w:tcMar>
              <w:top w:w="30" w:type="dxa"/>
              <w:left w:w="60" w:type="dxa"/>
              <w:bottom w:w="30" w:type="dxa"/>
              <w:right w:w="60" w:type="dxa"/>
            </w:tcMar>
            <w:vAlign w:val="center"/>
          </w:tcPr>
          <w:p w14:paraId="13D29AD1"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Dual rating providers; sector-neutral scores</w:t>
            </w:r>
          </w:p>
        </w:tc>
      </w:tr>
      <w:tr w:rsidR="005A1A06" w:rsidRPr="00E54816" w14:paraId="08A311B5" w14:textId="77777777">
        <w:tc>
          <w:tcPr>
            <w:tcW w:w="1300" w:type="dxa"/>
            <w:tcMar>
              <w:top w:w="30" w:type="dxa"/>
              <w:left w:w="60" w:type="dxa"/>
              <w:bottom w:w="30" w:type="dxa"/>
              <w:right w:w="60" w:type="dxa"/>
            </w:tcMar>
            <w:vAlign w:val="center"/>
          </w:tcPr>
          <w:p w14:paraId="73C2A926"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H4 (</w:t>
            </w:r>
            <w:proofErr w:type="spellStart"/>
            <w:r w:rsidRPr="00E54816">
              <w:rPr>
                <w:rFonts w:ascii="Calibri" w:eastAsia="Calibri" w:hAnsi="Calibri" w:cs="Calibri"/>
                <w:sz w:val="22"/>
                <w:szCs w:val="22"/>
              </w:rPr>
              <w:t>Greenium</w:t>
            </w:r>
            <w:proofErr w:type="spellEnd"/>
            <w:r w:rsidRPr="00E54816">
              <w:rPr>
                <w:rFonts w:ascii="Calibri" w:eastAsia="Calibri" w:hAnsi="Calibri" w:cs="Calibri"/>
                <w:sz w:val="22"/>
                <w:szCs w:val="22"/>
              </w:rPr>
              <w:t>)</w:t>
            </w:r>
          </w:p>
        </w:tc>
        <w:tc>
          <w:tcPr>
            <w:tcW w:w="1750" w:type="dxa"/>
            <w:tcMar>
              <w:top w:w="30" w:type="dxa"/>
              <w:left w:w="60" w:type="dxa"/>
              <w:bottom w:w="30" w:type="dxa"/>
              <w:right w:w="60" w:type="dxa"/>
            </w:tcMar>
            <w:vAlign w:val="center"/>
          </w:tcPr>
          <w:p w14:paraId="0DE010C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 xml:space="preserve">Valuation spread regression + </w:t>
            </w:r>
            <w:proofErr w:type="spellStart"/>
            <w:r w:rsidRPr="00E54816">
              <w:rPr>
                <w:rFonts w:ascii="Calibri" w:eastAsia="Calibri" w:hAnsi="Calibri" w:cs="Calibri"/>
                <w:sz w:val="22"/>
                <w:szCs w:val="22"/>
              </w:rPr>
              <w:t>DiD</w:t>
            </w:r>
            <w:proofErr w:type="spellEnd"/>
          </w:p>
        </w:tc>
        <w:tc>
          <w:tcPr>
            <w:tcW w:w="2150" w:type="dxa"/>
            <w:tcMar>
              <w:top w:w="30" w:type="dxa"/>
              <w:left w:w="60" w:type="dxa"/>
              <w:bottom w:w="30" w:type="dxa"/>
              <w:right w:w="60" w:type="dxa"/>
            </w:tcMar>
            <w:vAlign w:val="center"/>
          </w:tcPr>
          <w:p w14:paraId="67F0E421"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 xml:space="preserve">Panel P/E &amp; P/B regression; </w:t>
            </w:r>
            <w:proofErr w:type="spellStart"/>
            <w:r w:rsidRPr="00E54816">
              <w:rPr>
                <w:rFonts w:ascii="Calibri" w:eastAsia="Calibri" w:hAnsi="Calibri" w:cs="Calibri"/>
                <w:sz w:val="22"/>
                <w:szCs w:val="22"/>
              </w:rPr>
              <w:t>DiD</w:t>
            </w:r>
            <w:proofErr w:type="spellEnd"/>
            <w:r w:rsidRPr="00E54816">
              <w:rPr>
                <w:rFonts w:ascii="Calibri" w:eastAsia="Calibri" w:hAnsi="Calibri" w:cs="Calibri"/>
                <w:sz w:val="22"/>
                <w:szCs w:val="22"/>
              </w:rPr>
              <w:t xml:space="preserve"> (BRSR 2021 cutoff)</w:t>
            </w:r>
          </w:p>
        </w:tc>
        <w:tc>
          <w:tcPr>
            <w:tcW w:w="1900" w:type="dxa"/>
            <w:tcMar>
              <w:top w:w="30" w:type="dxa"/>
              <w:left w:w="60" w:type="dxa"/>
              <w:bottom w:w="30" w:type="dxa"/>
              <w:right w:w="60" w:type="dxa"/>
            </w:tcMar>
            <w:vAlign w:val="center"/>
          </w:tcPr>
          <w:p w14:paraId="1F6CC285"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NSE/BSE prices; BRSR disclosures; MSCI scores</w:t>
            </w:r>
          </w:p>
        </w:tc>
        <w:tc>
          <w:tcPr>
            <w:tcW w:w="2250" w:type="dxa"/>
            <w:tcMar>
              <w:top w:w="30" w:type="dxa"/>
              <w:left w:w="60" w:type="dxa"/>
              <w:bottom w:w="30" w:type="dxa"/>
              <w:right w:w="60" w:type="dxa"/>
            </w:tcMar>
            <w:vAlign w:val="center"/>
          </w:tcPr>
          <w:p w14:paraId="2A6F3DD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Placebo test; sector-neutralised spreads; Sustainalytics replication</w:t>
            </w:r>
          </w:p>
        </w:tc>
      </w:tr>
    </w:tbl>
    <w:p w14:paraId="72EB089E" w14:textId="77777777" w:rsidR="005A1A06" w:rsidRPr="00E54816" w:rsidRDefault="005A1A06" w:rsidP="003817C0">
      <w:pPr>
        <w:spacing w:before="80" w:line="276" w:lineRule="auto"/>
        <w:rPr>
          <w:rFonts w:ascii="Calibri" w:hAnsi="Calibri" w:cs="Calibri"/>
          <w:sz w:val="22"/>
          <w:szCs w:val="22"/>
        </w:rPr>
      </w:pPr>
    </w:p>
    <w:p w14:paraId="3DB69A9F" w14:textId="77777777" w:rsidR="005A1A06" w:rsidRPr="00E54816" w:rsidRDefault="00000000" w:rsidP="003817C0">
      <w:pPr>
        <w:spacing w:before="110" w:after="60" w:line="276" w:lineRule="auto"/>
        <w:rPr>
          <w:rFonts w:ascii="Calibri" w:hAnsi="Calibri" w:cs="Calibri"/>
          <w:sz w:val="22"/>
          <w:szCs w:val="22"/>
        </w:rPr>
      </w:pPr>
      <w:r w:rsidRPr="00E54816">
        <w:rPr>
          <w:rFonts w:ascii="Calibri" w:eastAsia="Calibri" w:hAnsi="Calibri" w:cs="Calibri"/>
          <w:b/>
          <w:bCs/>
          <w:sz w:val="22"/>
          <w:szCs w:val="22"/>
        </w:rPr>
        <w:t>Discussions</w:t>
      </w:r>
    </w:p>
    <w:p w14:paraId="21569E1B" w14:textId="71B2DD29" w:rsidR="005A1A06" w:rsidRPr="00E54816" w:rsidRDefault="00D27527" w:rsidP="003817C0">
      <w:pPr>
        <w:spacing w:after="70" w:line="276" w:lineRule="auto"/>
        <w:jc w:val="both"/>
        <w:rPr>
          <w:rFonts w:ascii="Calibri" w:hAnsi="Calibri" w:cs="Calibri"/>
          <w:sz w:val="22"/>
          <w:szCs w:val="22"/>
        </w:rPr>
      </w:pPr>
      <w:r w:rsidRPr="00E54816">
        <w:rPr>
          <w:rFonts w:ascii="Calibri" w:eastAsia="Calibri" w:hAnsi="Calibri" w:cs="Calibri"/>
          <w:sz w:val="22"/>
          <w:szCs w:val="22"/>
        </w:rPr>
        <w:t>The internal, construct, external and content threats to the design and their corresponding remedy measures are presented in Table 4.</w:t>
      </w:r>
    </w:p>
    <w:p w14:paraId="12FC2B35" w14:textId="77777777" w:rsidR="005A1A06" w:rsidRPr="00E54816" w:rsidRDefault="00000000" w:rsidP="003817C0">
      <w:pPr>
        <w:spacing w:before="50" w:after="30" w:line="276" w:lineRule="auto"/>
        <w:rPr>
          <w:rFonts w:ascii="Calibri" w:hAnsi="Calibri" w:cs="Calibri"/>
          <w:sz w:val="22"/>
          <w:szCs w:val="22"/>
        </w:rPr>
      </w:pPr>
      <w:r w:rsidRPr="00E54816">
        <w:rPr>
          <w:rFonts w:ascii="Calibri" w:eastAsia="Calibri" w:hAnsi="Calibri" w:cs="Calibri"/>
          <w:i/>
          <w:iCs/>
          <w:sz w:val="22"/>
          <w:szCs w:val="22"/>
        </w:rPr>
        <w:t>Table 4. Validity Threats and Mitigation Strategies</w:t>
      </w:r>
    </w:p>
    <w:tbl>
      <w:tblPr>
        <w:tblW w:w="9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350"/>
        <w:gridCol w:w="1950"/>
        <w:gridCol w:w="2900"/>
        <w:gridCol w:w="3150"/>
      </w:tblGrid>
      <w:tr w:rsidR="005A1A06" w:rsidRPr="00E54816" w14:paraId="5458BB32" w14:textId="77777777">
        <w:trPr>
          <w:tblHeader/>
        </w:trPr>
        <w:tc>
          <w:tcPr>
            <w:tcW w:w="1350" w:type="dxa"/>
            <w:shd w:val="clear" w:color="auto" w:fill="D9E2F3"/>
            <w:tcMar>
              <w:top w:w="30" w:type="dxa"/>
              <w:left w:w="60" w:type="dxa"/>
              <w:bottom w:w="30" w:type="dxa"/>
              <w:right w:w="60" w:type="dxa"/>
            </w:tcMar>
            <w:vAlign w:val="center"/>
          </w:tcPr>
          <w:p w14:paraId="6F1248F9"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Validity Type</w:t>
            </w:r>
          </w:p>
        </w:tc>
        <w:tc>
          <w:tcPr>
            <w:tcW w:w="1950" w:type="dxa"/>
            <w:shd w:val="clear" w:color="auto" w:fill="D9E2F3"/>
            <w:tcMar>
              <w:top w:w="30" w:type="dxa"/>
              <w:left w:w="60" w:type="dxa"/>
              <w:bottom w:w="30" w:type="dxa"/>
              <w:right w:w="60" w:type="dxa"/>
            </w:tcMar>
            <w:vAlign w:val="center"/>
          </w:tcPr>
          <w:p w14:paraId="2B86658E"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Specific Threat</w:t>
            </w:r>
          </w:p>
        </w:tc>
        <w:tc>
          <w:tcPr>
            <w:tcW w:w="2900" w:type="dxa"/>
            <w:shd w:val="clear" w:color="auto" w:fill="D9E2F3"/>
            <w:tcMar>
              <w:top w:w="30" w:type="dxa"/>
              <w:left w:w="60" w:type="dxa"/>
              <w:bottom w:w="30" w:type="dxa"/>
              <w:right w:w="60" w:type="dxa"/>
            </w:tcMar>
            <w:vAlign w:val="center"/>
          </w:tcPr>
          <w:p w14:paraId="5DF2BE0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Mechanism</w:t>
            </w:r>
          </w:p>
        </w:tc>
        <w:tc>
          <w:tcPr>
            <w:tcW w:w="3150" w:type="dxa"/>
            <w:shd w:val="clear" w:color="auto" w:fill="D9E2F3"/>
            <w:tcMar>
              <w:top w:w="30" w:type="dxa"/>
              <w:left w:w="60" w:type="dxa"/>
              <w:bottom w:w="30" w:type="dxa"/>
              <w:right w:w="60" w:type="dxa"/>
            </w:tcMar>
            <w:vAlign w:val="center"/>
          </w:tcPr>
          <w:p w14:paraId="4471947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b/>
                <w:bCs/>
                <w:sz w:val="22"/>
                <w:szCs w:val="22"/>
              </w:rPr>
              <w:t>Mitigation Strategy</w:t>
            </w:r>
          </w:p>
        </w:tc>
      </w:tr>
      <w:tr w:rsidR="005A1A06" w:rsidRPr="00E54816" w14:paraId="56E9C24D" w14:textId="77777777">
        <w:tc>
          <w:tcPr>
            <w:tcW w:w="1350" w:type="dxa"/>
            <w:tcMar>
              <w:top w:w="30" w:type="dxa"/>
              <w:left w:w="60" w:type="dxa"/>
              <w:bottom w:w="30" w:type="dxa"/>
              <w:right w:w="60" w:type="dxa"/>
            </w:tcMar>
            <w:vAlign w:val="center"/>
          </w:tcPr>
          <w:p w14:paraId="6B124893"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Internal (Causal)</w:t>
            </w:r>
          </w:p>
        </w:tc>
        <w:tc>
          <w:tcPr>
            <w:tcW w:w="1950" w:type="dxa"/>
            <w:tcMar>
              <w:top w:w="30" w:type="dxa"/>
              <w:left w:w="60" w:type="dxa"/>
              <w:bottom w:w="30" w:type="dxa"/>
              <w:right w:w="60" w:type="dxa"/>
            </w:tcMar>
            <w:vAlign w:val="center"/>
          </w:tcPr>
          <w:p w14:paraId="3777205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Survivorship bias</w:t>
            </w:r>
          </w:p>
        </w:tc>
        <w:tc>
          <w:tcPr>
            <w:tcW w:w="2900" w:type="dxa"/>
            <w:tcMar>
              <w:top w:w="30" w:type="dxa"/>
              <w:left w:w="60" w:type="dxa"/>
              <w:bottom w:w="30" w:type="dxa"/>
              <w:right w:w="60" w:type="dxa"/>
            </w:tcMar>
            <w:vAlign w:val="center"/>
          </w:tcPr>
          <w:p w14:paraId="701FB96F"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Excluding failed ESG funds overstates performance</w:t>
            </w:r>
          </w:p>
        </w:tc>
        <w:tc>
          <w:tcPr>
            <w:tcW w:w="3150" w:type="dxa"/>
            <w:tcMar>
              <w:top w:w="30" w:type="dxa"/>
              <w:left w:w="60" w:type="dxa"/>
              <w:bottom w:w="30" w:type="dxa"/>
              <w:right w:w="60" w:type="dxa"/>
            </w:tcMar>
            <w:vAlign w:val="center"/>
          </w:tcPr>
          <w:p w14:paraId="0C19DAC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Include all liquidated/merged funds with full histories; survivorship-bias-adjusted control group</w:t>
            </w:r>
          </w:p>
        </w:tc>
      </w:tr>
      <w:tr w:rsidR="005A1A06" w:rsidRPr="00E54816" w14:paraId="23E290E3" w14:textId="77777777">
        <w:tc>
          <w:tcPr>
            <w:tcW w:w="1350" w:type="dxa"/>
            <w:tcMar>
              <w:top w:w="30" w:type="dxa"/>
              <w:left w:w="60" w:type="dxa"/>
              <w:bottom w:w="30" w:type="dxa"/>
              <w:right w:w="60" w:type="dxa"/>
            </w:tcMar>
            <w:vAlign w:val="center"/>
          </w:tcPr>
          <w:p w14:paraId="60CFF9E8"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Internal (Causal)</w:t>
            </w:r>
          </w:p>
        </w:tc>
        <w:tc>
          <w:tcPr>
            <w:tcW w:w="1950" w:type="dxa"/>
            <w:tcMar>
              <w:top w:w="30" w:type="dxa"/>
              <w:left w:w="60" w:type="dxa"/>
              <w:bottom w:w="30" w:type="dxa"/>
              <w:right w:w="60" w:type="dxa"/>
            </w:tcMar>
            <w:vAlign w:val="center"/>
          </w:tcPr>
          <w:p w14:paraId="25B335BD"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Endogeneity (flows ↔ performance)</w:t>
            </w:r>
          </w:p>
        </w:tc>
        <w:tc>
          <w:tcPr>
            <w:tcW w:w="2900" w:type="dxa"/>
            <w:tcMar>
              <w:top w:w="30" w:type="dxa"/>
              <w:left w:w="60" w:type="dxa"/>
              <w:bottom w:w="30" w:type="dxa"/>
              <w:right w:w="60" w:type="dxa"/>
            </w:tcMar>
            <w:vAlign w:val="center"/>
          </w:tcPr>
          <w:p w14:paraId="6721622F"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Fund flows affect future AUM-scaled returns</w:t>
            </w:r>
          </w:p>
        </w:tc>
        <w:tc>
          <w:tcPr>
            <w:tcW w:w="3150" w:type="dxa"/>
            <w:tcMar>
              <w:top w:w="30" w:type="dxa"/>
              <w:left w:w="60" w:type="dxa"/>
              <w:bottom w:w="30" w:type="dxa"/>
              <w:right w:w="60" w:type="dxa"/>
            </w:tcMar>
            <w:vAlign w:val="center"/>
          </w:tcPr>
          <w:p w14:paraId="06C08CB4"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Arellano-Bond GMM with lagged instruments; Granger causality pre-tests</w:t>
            </w:r>
          </w:p>
        </w:tc>
      </w:tr>
      <w:tr w:rsidR="005A1A06" w:rsidRPr="00E54816" w14:paraId="1A39A985" w14:textId="77777777">
        <w:tc>
          <w:tcPr>
            <w:tcW w:w="1350" w:type="dxa"/>
            <w:tcMar>
              <w:top w:w="30" w:type="dxa"/>
              <w:left w:w="60" w:type="dxa"/>
              <w:bottom w:w="30" w:type="dxa"/>
              <w:right w:w="60" w:type="dxa"/>
            </w:tcMar>
            <w:vAlign w:val="center"/>
          </w:tcPr>
          <w:p w14:paraId="45DD107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Internal (Causal)</w:t>
            </w:r>
          </w:p>
        </w:tc>
        <w:tc>
          <w:tcPr>
            <w:tcW w:w="1950" w:type="dxa"/>
            <w:tcMar>
              <w:top w:w="30" w:type="dxa"/>
              <w:left w:w="60" w:type="dxa"/>
              <w:bottom w:w="30" w:type="dxa"/>
              <w:right w:w="60" w:type="dxa"/>
            </w:tcMar>
            <w:vAlign w:val="center"/>
          </w:tcPr>
          <w:p w14:paraId="4CCE2B7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 xml:space="preserve">Confounding (BRSR </w:t>
            </w:r>
            <w:proofErr w:type="spellStart"/>
            <w:r w:rsidRPr="00E54816">
              <w:rPr>
                <w:rFonts w:ascii="Calibri" w:eastAsia="Calibri" w:hAnsi="Calibri" w:cs="Calibri"/>
                <w:sz w:val="22"/>
                <w:szCs w:val="22"/>
              </w:rPr>
              <w:t>DiD</w:t>
            </w:r>
            <w:proofErr w:type="spellEnd"/>
            <w:r w:rsidRPr="00E54816">
              <w:rPr>
                <w:rFonts w:ascii="Calibri" w:eastAsia="Calibri" w:hAnsi="Calibri" w:cs="Calibri"/>
                <w:sz w:val="22"/>
                <w:szCs w:val="22"/>
              </w:rPr>
              <w:t>)</w:t>
            </w:r>
          </w:p>
        </w:tc>
        <w:tc>
          <w:tcPr>
            <w:tcW w:w="2900" w:type="dxa"/>
            <w:tcMar>
              <w:top w:w="30" w:type="dxa"/>
              <w:left w:w="60" w:type="dxa"/>
              <w:bottom w:w="30" w:type="dxa"/>
              <w:right w:w="60" w:type="dxa"/>
            </w:tcMar>
            <w:vAlign w:val="center"/>
          </w:tcPr>
          <w:p w14:paraId="1C66DDA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Concurrent market events near April 2021</w:t>
            </w:r>
          </w:p>
        </w:tc>
        <w:tc>
          <w:tcPr>
            <w:tcW w:w="3150" w:type="dxa"/>
            <w:tcMar>
              <w:top w:w="30" w:type="dxa"/>
              <w:left w:w="60" w:type="dxa"/>
              <w:bottom w:w="30" w:type="dxa"/>
              <w:right w:w="60" w:type="dxa"/>
            </w:tcMar>
            <w:vAlign w:val="center"/>
          </w:tcPr>
          <w:p w14:paraId="3151626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Parallel trends test; restrict to ±12-month bandwidth; exclude COVID-19 contamination period</w:t>
            </w:r>
          </w:p>
        </w:tc>
      </w:tr>
      <w:tr w:rsidR="005A1A06" w:rsidRPr="00E54816" w14:paraId="74BE5B8C" w14:textId="77777777">
        <w:tc>
          <w:tcPr>
            <w:tcW w:w="1350" w:type="dxa"/>
            <w:tcMar>
              <w:top w:w="30" w:type="dxa"/>
              <w:left w:w="60" w:type="dxa"/>
              <w:bottom w:w="30" w:type="dxa"/>
              <w:right w:w="60" w:type="dxa"/>
            </w:tcMar>
            <w:vAlign w:val="center"/>
          </w:tcPr>
          <w:p w14:paraId="31291674"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Construct</w:t>
            </w:r>
          </w:p>
        </w:tc>
        <w:tc>
          <w:tcPr>
            <w:tcW w:w="1950" w:type="dxa"/>
            <w:tcMar>
              <w:top w:w="30" w:type="dxa"/>
              <w:left w:w="60" w:type="dxa"/>
              <w:bottom w:w="30" w:type="dxa"/>
              <w:right w:w="60" w:type="dxa"/>
            </w:tcMar>
            <w:vAlign w:val="center"/>
          </w:tcPr>
          <w:p w14:paraId="104F3064"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ESG rating divergence</w:t>
            </w:r>
          </w:p>
        </w:tc>
        <w:tc>
          <w:tcPr>
            <w:tcW w:w="2900" w:type="dxa"/>
            <w:tcMar>
              <w:top w:w="30" w:type="dxa"/>
              <w:left w:w="60" w:type="dxa"/>
              <w:bottom w:w="30" w:type="dxa"/>
              <w:right w:w="60" w:type="dxa"/>
            </w:tcMar>
            <w:vAlign w:val="center"/>
          </w:tcPr>
          <w:p w14:paraId="49003469"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MSCI/Sustainalytics scores measure different constructs</w:t>
            </w:r>
          </w:p>
        </w:tc>
        <w:tc>
          <w:tcPr>
            <w:tcW w:w="3150" w:type="dxa"/>
            <w:tcMar>
              <w:top w:w="30" w:type="dxa"/>
              <w:left w:w="60" w:type="dxa"/>
              <w:bottom w:w="30" w:type="dxa"/>
              <w:right w:w="60" w:type="dxa"/>
            </w:tcMar>
            <w:vAlign w:val="center"/>
          </w:tcPr>
          <w:p w14:paraId="27E76FF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Dual-provider analysis; divergence as explicit moderator variable</w:t>
            </w:r>
          </w:p>
        </w:tc>
      </w:tr>
      <w:tr w:rsidR="005A1A06" w:rsidRPr="00E54816" w14:paraId="6AE66D5C" w14:textId="77777777">
        <w:tc>
          <w:tcPr>
            <w:tcW w:w="1350" w:type="dxa"/>
            <w:tcMar>
              <w:top w:w="30" w:type="dxa"/>
              <w:left w:w="60" w:type="dxa"/>
              <w:bottom w:w="30" w:type="dxa"/>
              <w:right w:w="60" w:type="dxa"/>
            </w:tcMar>
            <w:vAlign w:val="center"/>
          </w:tcPr>
          <w:p w14:paraId="45CAF26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Construct</w:t>
            </w:r>
          </w:p>
        </w:tc>
        <w:tc>
          <w:tcPr>
            <w:tcW w:w="1950" w:type="dxa"/>
            <w:tcMar>
              <w:top w:w="30" w:type="dxa"/>
              <w:left w:w="60" w:type="dxa"/>
              <w:bottom w:w="30" w:type="dxa"/>
              <w:right w:w="60" w:type="dxa"/>
            </w:tcMar>
            <w:vAlign w:val="center"/>
          </w:tcPr>
          <w:p w14:paraId="15C1826E"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Fund label ambiguity</w:t>
            </w:r>
          </w:p>
        </w:tc>
        <w:tc>
          <w:tcPr>
            <w:tcW w:w="2900" w:type="dxa"/>
            <w:tcMar>
              <w:top w:w="30" w:type="dxa"/>
              <w:left w:w="60" w:type="dxa"/>
              <w:bottom w:w="30" w:type="dxa"/>
              <w:right w:w="60" w:type="dxa"/>
            </w:tcMar>
            <w:vAlign w:val="center"/>
          </w:tcPr>
          <w:p w14:paraId="3BB56DDC"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‘ESG fund’ label encompasses diverse integration approaches</w:t>
            </w:r>
          </w:p>
        </w:tc>
        <w:tc>
          <w:tcPr>
            <w:tcW w:w="3150" w:type="dxa"/>
            <w:tcMar>
              <w:top w:w="30" w:type="dxa"/>
              <w:left w:w="60" w:type="dxa"/>
              <w:bottom w:w="30" w:type="dxa"/>
              <w:right w:w="60" w:type="dxa"/>
            </w:tcMar>
            <w:vAlign w:val="center"/>
          </w:tcPr>
          <w:p w14:paraId="3A4457B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Holdings-based score validation; Greenwashing Index quantifies labelling fidelity</w:t>
            </w:r>
          </w:p>
        </w:tc>
      </w:tr>
      <w:tr w:rsidR="005A1A06" w:rsidRPr="00E54816" w14:paraId="33448E43" w14:textId="77777777">
        <w:tc>
          <w:tcPr>
            <w:tcW w:w="1350" w:type="dxa"/>
            <w:tcMar>
              <w:top w:w="30" w:type="dxa"/>
              <w:left w:w="60" w:type="dxa"/>
              <w:bottom w:w="30" w:type="dxa"/>
              <w:right w:w="60" w:type="dxa"/>
            </w:tcMar>
            <w:vAlign w:val="center"/>
          </w:tcPr>
          <w:p w14:paraId="24FE46C1"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External</w:t>
            </w:r>
          </w:p>
        </w:tc>
        <w:tc>
          <w:tcPr>
            <w:tcW w:w="1950" w:type="dxa"/>
            <w:tcMar>
              <w:top w:w="30" w:type="dxa"/>
              <w:left w:w="60" w:type="dxa"/>
              <w:bottom w:w="30" w:type="dxa"/>
              <w:right w:w="60" w:type="dxa"/>
            </w:tcMar>
            <w:vAlign w:val="center"/>
          </w:tcPr>
          <w:p w14:paraId="49ED15F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Sample generalisability</w:t>
            </w:r>
          </w:p>
        </w:tc>
        <w:tc>
          <w:tcPr>
            <w:tcW w:w="2900" w:type="dxa"/>
            <w:tcMar>
              <w:top w:w="30" w:type="dxa"/>
              <w:left w:w="60" w:type="dxa"/>
              <w:bottom w:w="30" w:type="dxa"/>
              <w:right w:w="60" w:type="dxa"/>
            </w:tcMar>
            <w:vAlign w:val="center"/>
          </w:tcPr>
          <w:p w14:paraId="27711D0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N ≈ 15–20 ESG funds limits cross-sectional power</w:t>
            </w:r>
          </w:p>
        </w:tc>
        <w:tc>
          <w:tcPr>
            <w:tcW w:w="3150" w:type="dxa"/>
            <w:tcMar>
              <w:top w:w="30" w:type="dxa"/>
              <w:left w:w="60" w:type="dxa"/>
              <w:bottom w:w="30" w:type="dxa"/>
              <w:right w:w="60" w:type="dxa"/>
            </w:tcMar>
            <w:vAlign w:val="center"/>
          </w:tcPr>
          <w:p w14:paraId="39740730"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Bootstrap inference; rolling-window analyses; sub-period tests</w:t>
            </w:r>
          </w:p>
        </w:tc>
      </w:tr>
      <w:tr w:rsidR="005A1A06" w:rsidRPr="00E54816" w14:paraId="1ABB41C0" w14:textId="77777777">
        <w:tc>
          <w:tcPr>
            <w:tcW w:w="1350" w:type="dxa"/>
            <w:tcMar>
              <w:top w:w="30" w:type="dxa"/>
              <w:left w:w="60" w:type="dxa"/>
              <w:bottom w:w="30" w:type="dxa"/>
              <w:right w:w="60" w:type="dxa"/>
            </w:tcMar>
            <w:vAlign w:val="center"/>
          </w:tcPr>
          <w:p w14:paraId="6812614D"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Statistical</w:t>
            </w:r>
          </w:p>
        </w:tc>
        <w:tc>
          <w:tcPr>
            <w:tcW w:w="1950" w:type="dxa"/>
            <w:tcMar>
              <w:top w:w="30" w:type="dxa"/>
              <w:left w:w="60" w:type="dxa"/>
              <w:bottom w:w="30" w:type="dxa"/>
              <w:right w:w="60" w:type="dxa"/>
            </w:tcMar>
            <w:vAlign w:val="center"/>
          </w:tcPr>
          <w:p w14:paraId="242BB352"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Multiple comparison inflation</w:t>
            </w:r>
          </w:p>
        </w:tc>
        <w:tc>
          <w:tcPr>
            <w:tcW w:w="2900" w:type="dxa"/>
            <w:tcMar>
              <w:top w:w="30" w:type="dxa"/>
              <w:left w:w="60" w:type="dxa"/>
              <w:bottom w:w="30" w:type="dxa"/>
              <w:right w:w="60" w:type="dxa"/>
            </w:tcMar>
            <w:vAlign w:val="center"/>
          </w:tcPr>
          <w:p w14:paraId="3B8B1D4B"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Testing four hypotheses inflates Type I error</w:t>
            </w:r>
          </w:p>
        </w:tc>
        <w:tc>
          <w:tcPr>
            <w:tcW w:w="3150" w:type="dxa"/>
            <w:tcMar>
              <w:top w:w="30" w:type="dxa"/>
              <w:left w:w="60" w:type="dxa"/>
              <w:bottom w:w="30" w:type="dxa"/>
              <w:right w:w="60" w:type="dxa"/>
            </w:tcMar>
            <w:vAlign w:val="center"/>
          </w:tcPr>
          <w:p w14:paraId="62EF8B2E" w14:textId="77777777" w:rsidR="005A1A06" w:rsidRPr="00E54816" w:rsidRDefault="00000000" w:rsidP="003817C0">
            <w:pPr>
              <w:spacing w:line="276" w:lineRule="auto"/>
              <w:rPr>
                <w:rFonts w:ascii="Calibri" w:hAnsi="Calibri" w:cs="Calibri"/>
                <w:sz w:val="22"/>
                <w:szCs w:val="22"/>
              </w:rPr>
            </w:pPr>
            <w:r w:rsidRPr="00E54816">
              <w:rPr>
                <w:rFonts w:ascii="Calibri" w:eastAsia="Calibri" w:hAnsi="Calibri" w:cs="Calibri"/>
                <w:sz w:val="22"/>
                <w:szCs w:val="22"/>
              </w:rPr>
              <w:t>Bonferroni adjustment for family-wise error rate; effect size reporting (Cohen's d, η²)</w:t>
            </w:r>
          </w:p>
        </w:tc>
      </w:tr>
    </w:tbl>
    <w:p w14:paraId="1CD614A8" w14:textId="77777777" w:rsidR="005A1A06" w:rsidRPr="00E54816" w:rsidRDefault="005A1A06" w:rsidP="003817C0">
      <w:pPr>
        <w:spacing w:before="80" w:line="276" w:lineRule="auto"/>
        <w:rPr>
          <w:rFonts w:ascii="Calibri" w:hAnsi="Calibri" w:cs="Calibri"/>
          <w:sz w:val="22"/>
          <w:szCs w:val="22"/>
        </w:rPr>
      </w:pPr>
    </w:p>
    <w:p w14:paraId="5BE32375" w14:textId="51371C71" w:rsidR="005A1A06" w:rsidRPr="00E54816" w:rsidRDefault="00D27527" w:rsidP="00D27527">
      <w:pPr>
        <w:spacing w:after="70" w:line="276" w:lineRule="auto"/>
        <w:jc w:val="both"/>
        <w:rPr>
          <w:rFonts w:ascii="Calibri" w:hAnsi="Calibri" w:cs="Calibri"/>
          <w:sz w:val="22"/>
          <w:szCs w:val="22"/>
        </w:rPr>
      </w:pPr>
      <w:r w:rsidRPr="00E54816">
        <w:rPr>
          <w:rFonts w:ascii="Calibri" w:eastAsia="Calibri" w:hAnsi="Calibri" w:cs="Calibri"/>
          <w:sz w:val="22"/>
          <w:szCs w:val="22"/>
        </w:rPr>
        <w:t xml:space="preserve">Together, these protections enable a small, retail-focused funds universe to provide causally identified and replicable inferences, even in the context of poorly developed ESG-disclosure infrastructure in India. Ethically, the design is based on the use of secondary data that is open to the public and institutionally </w:t>
      </w:r>
      <w:r w:rsidRPr="00E54816">
        <w:rPr>
          <w:rFonts w:ascii="Calibri" w:eastAsia="Calibri" w:hAnsi="Calibri" w:cs="Calibri"/>
          <w:sz w:val="22"/>
          <w:szCs w:val="22"/>
        </w:rPr>
        <w:lastRenderedPageBreak/>
        <w:t>licensed, no raw MSCI or Sustainalytics scores will be redistributed and findings of greenwashing at the fund level will only be reported in total.</w:t>
      </w:r>
    </w:p>
    <w:p w14:paraId="33D422B6" w14:textId="1EF878FC" w:rsidR="005A1A06" w:rsidRPr="00E54816" w:rsidRDefault="00000000" w:rsidP="003817C0">
      <w:pPr>
        <w:spacing w:before="110" w:after="60" w:line="276" w:lineRule="auto"/>
        <w:rPr>
          <w:rFonts w:ascii="Calibri" w:hAnsi="Calibri" w:cs="Calibri"/>
          <w:sz w:val="22"/>
          <w:szCs w:val="22"/>
        </w:rPr>
      </w:pPr>
      <w:r w:rsidRPr="00E54816">
        <w:rPr>
          <w:rFonts w:ascii="Calibri" w:eastAsia="Calibri" w:hAnsi="Calibri" w:cs="Calibri"/>
          <w:b/>
          <w:bCs/>
          <w:sz w:val="22"/>
          <w:szCs w:val="22"/>
        </w:rPr>
        <w:t>Conclusion</w:t>
      </w:r>
      <w:r w:rsidR="005C403D" w:rsidRPr="00E54816">
        <w:rPr>
          <w:rFonts w:ascii="Calibri" w:eastAsia="Calibri" w:hAnsi="Calibri" w:cs="Calibri"/>
          <w:b/>
          <w:bCs/>
          <w:sz w:val="22"/>
          <w:szCs w:val="22"/>
        </w:rPr>
        <w:t>s</w:t>
      </w:r>
    </w:p>
    <w:p w14:paraId="4A3C18F1" w14:textId="77777777" w:rsidR="00FD7B80" w:rsidRPr="00E54816" w:rsidRDefault="00FD7B80" w:rsidP="00FD7B80">
      <w:pPr>
        <w:pStyle w:val="ListParagraph"/>
        <w:numPr>
          <w:ilvl w:val="0"/>
          <w:numId w:val="2"/>
        </w:numPr>
        <w:spacing w:after="60" w:line="276" w:lineRule="auto"/>
        <w:jc w:val="both"/>
        <w:rPr>
          <w:rFonts w:ascii="Calibri" w:eastAsia="Calibri" w:hAnsi="Calibri" w:cs="Calibri"/>
          <w:sz w:val="22"/>
          <w:szCs w:val="22"/>
        </w:rPr>
      </w:pPr>
      <w:r w:rsidRPr="00E54816">
        <w:rPr>
          <w:rFonts w:ascii="Calibri" w:eastAsia="Calibri" w:hAnsi="Calibri" w:cs="Calibri"/>
          <w:sz w:val="22"/>
          <w:szCs w:val="22"/>
        </w:rPr>
        <w:t>An untested challenge with suitable methodological rigour is whether such ESG-labelled mutual funds offer superior performance, whether they are attracted by ESG flows and whether they are provided with a "green washing" hazard-free route to market, and how whether they exhibit a "valuation premium".</w:t>
      </w:r>
    </w:p>
    <w:p w14:paraId="7E95BCCC" w14:textId="77777777" w:rsidR="00FD7B80" w:rsidRPr="00E54816" w:rsidRDefault="00FD7B80" w:rsidP="00FD7B80">
      <w:pPr>
        <w:pStyle w:val="ListParagraph"/>
        <w:numPr>
          <w:ilvl w:val="0"/>
          <w:numId w:val="2"/>
        </w:numPr>
        <w:spacing w:after="60" w:line="276" w:lineRule="auto"/>
        <w:jc w:val="both"/>
        <w:rPr>
          <w:rFonts w:ascii="Calibri" w:eastAsia="Calibri" w:hAnsi="Calibri" w:cs="Calibri"/>
          <w:sz w:val="22"/>
          <w:szCs w:val="22"/>
        </w:rPr>
      </w:pPr>
      <w:r w:rsidRPr="00E54816">
        <w:rPr>
          <w:rFonts w:ascii="Calibri" w:eastAsia="Calibri" w:hAnsi="Calibri" w:cs="Calibri"/>
          <w:sz w:val="22"/>
          <w:szCs w:val="22"/>
        </w:rPr>
        <w:t xml:space="preserve"> Methods: a multi-method secondary-data design, which includes an India-augmented Carhart factor model, </w:t>
      </w:r>
      <w:proofErr w:type="gramStart"/>
      <w:r w:rsidRPr="00E54816">
        <w:rPr>
          <w:rFonts w:ascii="Calibri" w:eastAsia="Calibri" w:hAnsi="Calibri" w:cs="Calibri"/>
          <w:sz w:val="22"/>
          <w:szCs w:val="22"/>
        </w:rPr>
        <w:t>a</w:t>
      </w:r>
      <w:proofErr w:type="gramEnd"/>
      <w:r w:rsidRPr="00E54816">
        <w:rPr>
          <w:rFonts w:ascii="Calibri" w:eastAsia="Calibri" w:hAnsi="Calibri" w:cs="Calibri"/>
          <w:sz w:val="22"/>
          <w:szCs w:val="22"/>
        </w:rPr>
        <w:t xml:space="preserve"> Arellano-Bond dynamic panel GMM, a portfolio-level greenwashing indexing strategy and BRSR-based difference-in-differences and regression discontinuity designs.</w:t>
      </w:r>
    </w:p>
    <w:p w14:paraId="5178E9DA" w14:textId="77777777" w:rsidR="00FD7B80" w:rsidRPr="00E54816" w:rsidRDefault="00FD7B80" w:rsidP="00FD7B80">
      <w:pPr>
        <w:pStyle w:val="ListParagraph"/>
        <w:numPr>
          <w:ilvl w:val="0"/>
          <w:numId w:val="2"/>
        </w:numPr>
        <w:spacing w:after="60" w:line="276" w:lineRule="auto"/>
        <w:jc w:val="both"/>
        <w:rPr>
          <w:rFonts w:ascii="Calibri" w:eastAsia="Calibri" w:hAnsi="Calibri" w:cs="Calibri"/>
          <w:sz w:val="22"/>
          <w:szCs w:val="22"/>
        </w:rPr>
      </w:pPr>
      <w:r w:rsidRPr="00E54816">
        <w:rPr>
          <w:rFonts w:ascii="Calibri" w:eastAsia="Calibri" w:hAnsi="Calibri" w:cs="Calibri"/>
          <w:sz w:val="22"/>
          <w:szCs w:val="22"/>
        </w:rPr>
        <w:t xml:space="preserve"> Key contribution: provided a fully fleshed-out methodological template, customised to the Indian retail-dominated and data-constrained ESG fund market, turning the mandate in BRSR 2021 into a natural experiment.</w:t>
      </w:r>
    </w:p>
    <w:p w14:paraId="1A3E5069" w14:textId="26B020E5" w:rsidR="005A1A06" w:rsidRPr="00E54816" w:rsidRDefault="00FD7B80" w:rsidP="00FD7B80">
      <w:pPr>
        <w:pStyle w:val="ListParagraph"/>
        <w:numPr>
          <w:ilvl w:val="0"/>
          <w:numId w:val="2"/>
        </w:numPr>
        <w:spacing w:after="60" w:line="276" w:lineRule="auto"/>
        <w:jc w:val="both"/>
        <w:rPr>
          <w:rFonts w:ascii="Calibri" w:hAnsi="Calibri" w:cs="Calibri"/>
          <w:sz w:val="22"/>
          <w:szCs w:val="22"/>
        </w:rPr>
      </w:pPr>
      <w:r w:rsidRPr="00E54816">
        <w:rPr>
          <w:rFonts w:ascii="Calibri" w:eastAsia="Calibri" w:hAnsi="Calibri" w:cs="Calibri"/>
          <w:sz w:val="22"/>
          <w:szCs w:val="22"/>
        </w:rPr>
        <w:t xml:space="preserve"> Limitations and future work: small fund universe (Napprox15-20) limits statistical power, even while using bootstrapping; cross-provider differences in ESG ratings are a construct-validity concern, which would benefit from being addressed in future work; future work should extend the framework as the disclosure regime of BRSR expands and improves in India, while at the same time applying it to a comparable fashion across other emerging markets.</w:t>
      </w:r>
    </w:p>
    <w:p w14:paraId="639F8A8F" w14:textId="77777777" w:rsidR="005A1A06" w:rsidRPr="00E54816" w:rsidRDefault="00000000" w:rsidP="003817C0">
      <w:pPr>
        <w:spacing w:before="110" w:after="60" w:line="276" w:lineRule="auto"/>
        <w:rPr>
          <w:rFonts w:ascii="Calibri" w:hAnsi="Calibri" w:cs="Calibri"/>
          <w:sz w:val="22"/>
          <w:szCs w:val="22"/>
        </w:rPr>
      </w:pPr>
      <w:r w:rsidRPr="00E54816">
        <w:rPr>
          <w:rFonts w:ascii="Calibri" w:eastAsia="Calibri" w:hAnsi="Calibri" w:cs="Calibri"/>
          <w:b/>
          <w:bCs/>
          <w:sz w:val="22"/>
          <w:szCs w:val="22"/>
        </w:rPr>
        <w:t>References</w:t>
      </w:r>
    </w:p>
    <w:p w14:paraId="7A93758C"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AMFI, “ESG mutual funds in India: AUM trends,” AMFI Research Report, Association of Mutual Funds in India, 2023.</w:t>
      </w:r>
    </w:p>
    <w:p w14:paraId="061187C1"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M. Arellano and S. Bond, “Some tests of specification for panel data: Monte Carlo evidence and an application to employment equations,” Review of Economic Studies, vol. 58, no. 2, pp. 277–297, 1991.</w:t>
      </w:r>
    </w:p>
    <w:p w14:paraId="6991AF62"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 xml:space="preserve">F. Berg, J. F. Koelbel, and R. </w:t>
      </w:r>
      <w:proofErr w:type="spellStart"/>
      <w:r w:rsidRPr="00E54816">
        <w:rPr>
          <w:rFonts w:ascii="Calibri" w:eastAsia="Calibri" w:hAnsi="Calibri" w:cs="Calibri"/>
          <w:sz w:val="22"/>
          <w:szCs w:val="22"/>
        </w:rPr>
        <w:t>Rigobon</w:t>
      </w:r>
      <w:proofErr w:type="spellEnd"/>
      <w:r w:rsidRPr="00E54816">
        <w:rPr>
          <w:rFonts w:ascii="Calibri" w:eastAsia="Calibri" w:hAnsi="Calibri" w:cs="Calibri"/>
          <w:sz w:val="22"/>
          <w:szCs w:val="22"/>
        </w:rPr>
        <w:t>, “Aggregate confusion: The divergence of ESG ratings,” Review of Finance, vol. 26, no. 6, pp. 1315–1344, 2022.</w:t>
      </w:r>
    </w:p>
    <w:p w14:paraId="15022C41"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M. M. Carhart, “On persistence in mutual fund performance,” Journal of Finance, vol. 52, no. 1, pp. 57–82, 1997.</w:t>
      </w:r>
    </w:p>
    <w:p w14:paraId="0F687170"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E. F. Fama and J. D. MacBeth, “Risk, return, and equilibrium: Empirical tests,” Journal of Political Economy, vol. 81, no. 3, pp. 607–636, 1973.</w:t>
      </w:r>
    </w:p>
    <w:p w14:paraId="34D49587"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R. Gibson Brandon, S. Glossner, P. Krueger, P. Matos, and T. Steffen, “Do responsible investors invest responsibly?” Review of Finance, vol. 26, no. 6, pp. 1389–1432, 2022.</w:t>
      </w:r>
    </w:p>
    <w:p w14:paraId="5A792C97"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 xml:space="preserve">S. M. </w:t>
      </w:r>
      <w:proofErr w:type="spellStart"/>
      <w:r w:rsidRPr="00E54816">
        <w:rPr>
          <w:rFonts w:ascii="Calibri" w:eastAsia="Calibri" w:hAnsi="Calibri" w:cs="Calibri"/>
          <w:sz w:val="22"/>
          <w:szCs w:val="22"/>
        </w:rPr>
        <w:t>Hartzmark</w:t>
      </w:r>
      <w:proofErr w:type="spellEnd"/>
      <w:r w:rsidRPr="00E54816">
        <w:rPr>
          <w:rFonts w:ascii="Calibri" w:eastAsia="Calibri" w:hAnsi="Calibri" w:cs="Calibri"/>
          <w:sz w:val="22"/>
          <w:szCs w:val="22"/>
        </w:rPr>
        <w:t xml:space="preserve"> and A. B. Sussman, “Do investors value sustainability? A natural experiment examining ranking and fund flows,” Journal of Finance, vol. 74, no. 6, pp. 2789–2837, 2019.</w:t>
      </w:r>
    </w:p>
    <w:p w14:paraId="75B080CF"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M. Khan, G. Serafeim, and A. Yoon, “Corporate sustainability: First evidence on materiality,” The Accounting Review, vol. 91, no. 6, pp. 1697–1724, 2016.</w:t>
      </w:r>
    </w:p>
    <w:p w14:paraId="0F4A6AE1"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A. Riedl and P. Smeets, “Why do investors hold socially responsible mutual funds?” Journal of Finance, vol. 72, no. 6, pp. 2505–2550, 2017.</w:t>
      </w:r>
    </w:p>
    <w:p w14:paraId="34F2FFF2" w14:textId="77777777" w:rsidR="005A1A06" w:rsidRPr="00E54816" w:rsidRDefault="00000000" w:rsidP="003817C0">
      <w:pPr>
        <w:pStyle w:val="ListParagraph"/>
        <w:numPr>
          <w:ilvl w:val="0"/>
          <w:numId w:val="3"/>
        </w:numPr>
        <w:spacing w:after="50" w:line="276" w:lineRule="auto"/>
        <w:jc w:val="both"/>
        <w:rPr>
          <w:rFonts w:ascii="Calibri" w:hAnsi="Calibri" w:cs="Calibri"/>
          <w:sz w:val="22"/>
          <w:szCs w:val="22"/>
        </w:rPr>
      </w:pPr>
      <w:r w:rsidRPr="00E54816">
        <w:rPr>
          <w:rFonts w:ascii="Calibri" w:eastAsia="Calibri" w:hAnsi="Calibri" w:cs="Calibri"/>
          <w:sz w:val="22"/>
          <w:szCs w:val="22"/>
        </w:rPr>
        <w:t>SEBI, “Business Responsibility and Sustainability Reporting (BRSR) framework circular,” Securities and Exchange Board of India, 2021.</w:t>
      </w:r>
    </w:p>
    <w:sectPr w:rsidR="005A1A06" w:rsidRPr="00E54816">
      <w:footerReference w:type="default" r:id="rId7"/>
      <w:pgSz w:w="12240" w:h="15840"/>
      <w:pgMar w:top="1260" w:right="1350" w:bottom="1260" w:left="1350" w:header="600" w:footer="60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7253A3" w14:textId="77777777" w:rsidR="00434315" w:rsidRDefault="00434315">
      <w:r>
        <w:separator/>
      </w:r>
    </w:p>
  </w:endnote>
  <w:endnote w:type="continuationSeparator" w:id="0">
    <w:p w14:paraId="5BBD6EC8" w14:textId="77777777" w:rsidR="00434315" w:rsidRDefault="00434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88EE" w14:textId="233EA97C" w:rsidR="00E54816" w:rsidRPr="00E54816" w:rsidRDefault="00E54816" w:rsidP="00E54816">
    <w:pPr>
      <w:pBdr>
        <w:top w:val="nil"/>
        <w:left w:val="nil"/>
        <w:bottom w:val="nil"/>
        <w:right w:val="nil"/>
        <w:between w:val="nil"/>
      </w:pBdr>
      <w:tabs>
        <w:tab w:val="center" w:pos="4513"/>
        <w:tab w:val="right" w:pos="9026"/>
      </w:tabs>
      <w:rPr>
        <w:rFonts w:ascii="Open Sans" w:eastAsia="Open Sans" w:hAnsi="Open Sans" w:cs="Open Sans"/>
        <w:b/>
        <w:color w:val="D51F54"/>
        <w:sz w:val="16"/>
        <w:szCs w:val="16"/>
        <w:lang w:val="en"/>
      </w:rPr>
    </w:pPr>
    <w:r w:rsidRPr="00E54816">
      <w:rPr>
        <w:rFonts w:ascii="Open Sans" w:eastAsia="Open Sans" w:hAnsi="Open Sans" w:cs="Open Sans"/>
        <w:b/>
        <w:color w:val="D51F54"/>
        <w:sz w:val="16"/>
        <w:szCs w:val="16"/>
        <w:lang w:val="en"/>
      </w:rPr>
      <w:t>SGS Initiative, VOL. 1 NO .1</w:t>
    </w:r>
    <w:r>
      <w:rPr>
        <w:rFonts w:ascii="Open Sans" w:eastAsia="Open Sans" w:hAnsi="Open Sans" w:cs="Open Sans"/>
        <w:b/>
        <w:color w:val="D51F54"/>
        <w:sz w:val="16"/>
        <w:szCs w:val="16"/>
        <w:lang w:val="en"/>
      </w:rPr>
      <w:t>0</w:t>
    </w:r>
    <w:r w:rsidRPr="00E54816">
      <w:rPr>
        <w:rFonts w:ascii="Open Sans" w:eastAsia="Open Sans" w:hAnsi="Open Sans" w:cs="Open Sans"/>
        <w:b/>
        <w:color w:val="D51F54"/>
        <w:sz w:val="16"/>
        <w:szCs w:val="16"/>
        <w:lang w:val="en"/>
      </w:rPr>
      <w:t xml:space="preserve"> (2026): LGPR</w:t>
    </w:r>
  </w:p>
  <w:p w14:paraId="5656E494" w14:textId="63215EE6" w:rsidR="005A1A06" w:rsidRPr="00E54816" w:rsidRDefault="005A1A06" w:rsidP="00E548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2FB51" w14:textId="77777777" w:rsidR="00434315" w:rsidRDefault="00434315">
      <w:r>
        <w:separator/>
      </w:r>
    </w:p>
  </w:footnote>
  <w:footnote w:type="continuationSeparator" w:id="0">
    <w:p w14:paraId="4AF12BF4" w14:textId="77777777" w:rsidR="00434315" w:rsidRDefault="0043431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A57514"/>
    <w:multiLevelType w:val="hybridMultilevel"/>
    <w:tmpl w:val="BD2001A6"/>
    <w:lvl w:ilvl="0" w:tplc="8866447E">
      <w:start w:val="1"/>
      <w:numFmt w:val="bullet"/>
      <w:lvlText w:val="●"/>
      <w:lvlJc w:val="left"/>
      <w:pPr>
        <w:ind w:left="720" w:hanging="360"/>
      </w:pPr>
    </w:lvl>
    <w:lvl w:ilvl="1" w:tplc="100E64D4">
      <w:start w:val="1"/>
      <w:numFmt w:val="bullet"/>
      <w:lvlText w:val="○"/>
      <w:lvlJc w:val="left"/>
      <w:pPr>
        <w:ind w:left="1440" w:hanging="360"/>
      </w:pPr>
    </w:lvl>
    <w:lvl w:ilvl="2" w:tplc="9E86E4E4">
      <w:start w:val="1"/>
      <w:numFmt w:val="bullet"/>
      <w:lvlText w:val="■"/>
      <w:lvlJc w:val="left"/>
      <w:pPr>
        <w:ind w:left="2160" w:hanging="360"/>
      </w:pPr>
    </w:lvl>
    <w:lvl w:ilvl="3" w:tplc="7BD4E3F8">
      <w:start w:val="1"/>
      <w:numFmt w:val="bullet"/>
      <w:lvlText w:val="●"/>
      <w:lvlJc w:val="left"/>
      <w:pPr>
        <w:ind w:left="2880" w:hanging="360"/>
      </w:pPr>
    </w:lvl>
    <w:lvl w:ilvl="4" w:tplc="2FBEDEF0">
      <w:start w:val="1"/>
      <w:numFmt w:val="bullet"/>
      <w:lvlText w:val="○"/>
      <w:lvlJc w:val="left"/>
      <w:pPr>
        <w:ind w:left="3600" w:hanging="360"/>
      </w:pPr>
    </w:lvl>
    <w:lvl w:ilvl="5" w:tplc="19009D7C">
      <w:start w:val="1"/>
      <w:numFmt w:val="bullet"/>
      <w:lvlText w:val="■"/>
      <w:lvlJc w:val="left"/>
      <w:pPr>
        <w:ind w:left="4320" w:hanging="360"/>
      </w:pPr>
    </w:lvl>
    <w:lvl w:ilvl="6" w:tplc="13BEC134">
      <w:start w:val="1"/>
      <w:numFmt w:val="bullet"/>
      <w:lvlText w:val="●"/>
      <w:lvlJc w:val="left"/>
      <w:pPr>
        <w:ind w:left="5040" w:hanging="360"/>
      </w:pPr>
    </w:lvl>
    <w:lvl w:ilvl="7" w:tplc="9DDC9E72">
      <w:start w:val="1"/>
      <w:numFmt w:val="bullet"/>
      <w:lvlText w:val="●"/>
      <w:lvlJc w:val="left"/>
      <w:pPr>
        <w:ind w:left="5760" w:hanging="360"/>
      </w:pPr>
    </w:lvl>
    <w:lvl w:ilvl="8" w:tplc="14F07CD0">
      <w:start w:val="1"/>
      <w:numFmt w:val="bullet"/>
      <w:lvlText w:val="●"/>
      <w:lvlJc w:val="left"/>
      <w:pPr>
        <w:ind w:left="6480" w:hanging="360"/>
      </w:pPr>
    </w:lvl>
  </w:abstractNum>
  <w:abstractNum w:abstractNumId="1" w15:restartNumberingAfterBreak="0">
    <w:nsid w:val="43B36FCC"/>
    <w:multiLevelType w:val="hybridMultilevel"/>
    <w:tmpl w:val="8E446AE2"/>
    <w:lvl w:ilvl="0" w:tplc="C850381C">
      <w:start w:val="1"/>
      <w:numFmt w:val="decimal"/>
      <w:lvlText w:val="%1."/>
      <w:lvlJc w:val="left"/>
      <w:pPr>
        <w:ind w:left="400" w:hanging="400"/>
      </w:pPr>
    </w:lvl>
    <w:lvl w:ilvl="1" w:tplc="EF4CC410">
      <w:numFmt w:val="decimal"/>
      <w:lvlText w:val=""/>
      <w:lvlJc w:val="left"/>
    </w:lvl>
    <w:lvl w:ilvl="2" w:tplc="3058035A">
      <w:numFmt w:val="decimal"/>
      <w:lvlText w:val=""/>
      <w:lvlJc w:val="left"/>
    </w:lvl>
    <w:lvl w:ilvl="3" w:tplc="FA6EE5DC">
      <w:numFmt w:val="decimal"/>
      <w:lvlText w:val=""/>
      <w:lvlJc w:val="left"/>
    </w:lvl>
    <w:lvl w:ilvl="4" w:tplc="EC52CCE2">
      <w:numFmt w:val="decimal"/>
      <w:lvlText w:val=""/>
      <w:lvlJc w:val="left"/>
    </w:lvl>
    <w:lvl w:ilvl="5" w:tplc="7CEE1DAA">
      <w:numFmt w:val="decimal"/>
      <w:lvlText w:val=""/>
      <w:lvlJc w:val="left"/>
    </w:lvl>
    <w:lvl w:ilvl="6" w:tplc="5FDA8920">
      <w:numFmt w:val="decimal"/>
      <w:lvlText w:val=""/>
      <w:lvlJc w:val="left"/>
    </w:lvl>
    <w:lvl w:ilvl="7" w:tplc="1A7A2ADE">
      <w:numFmt w:val="decimal"/>
      <w:lvlText w:val=""/>
      <w:lvlJc w:val="left"/>
    </w:lvl>
    <w:lvl w:ilvl="8" w:tplc="134EFCFA">
      <w:numFmt w:val="decimal"/>
      <w:lvlText w:val=""/>
      <w:lvlJc w:val="left"/>
    </w:lvl>
  </w:abstractNum>
  <w:abstractNum w:abstractNumId="2" w15:restartNumberingAfterBreak="0">
    <w:nsid w:val="773C16E5"/>
    <w:multiLevelType w:val="hybridMultilevel"/>
    <w:tmpl w:val="06182DD4"/>
    <w:lvl w:ilvl="0" w:tplc="75E0ACF4">
      <w:start w:val="1"/>
      <w:numFmt w:val="decimal"/>
      <w:lvlText w:val="[%1]"/>
      <w:lvlJc w:val="left"/>
      <w:pPr>
        <w:ind w:left="400" w:hanging="400"/>
      </w:pPr>
    </w:lvl>
    <w:lvl w:ilvl="1" w:tplc="9C3C58A2">
      <w:numFmt w:val="decimal"/>
      <w:lvlText w:val=""/>
      <w:lvlJc w:val="left"/>
    </w:lvl>
    <w:lvl w:ilvl="2" w:tplc="D47E9CE8">
      <w:numFmt w:val="decimal"/>
      <w:lvlText w:val=""/>
      <w:lvlJc w:val="left"/>
    </w:lvl>
    <w:lvl w:ilvl="3" w:tplc="EA8A3618">
      <w:numFmt w:val="decimal"/>
      <w:lvlText w:val=""/>
      <w:lvlJc w:val="left"/>
    </w:lvl>
    <w:lvl w:ilvl="4" w:tplc="884C57B2">
      <w:numFmt w:val="decimal"/>
      <w:lvlText w:val=""/>
      <w:lvlJc w:val="left"/>
    </w:lvl>
    <w:lvl w:ilvl="5" w:tplc="D2606B88">
      <w:numFmt w:val="decimal"/>
      <w:lvlText w:val=""/>
      <w:lvlJc w:val="left"/>
    </w:lvl>
    <w:lvl w:ilvl="6" w:tplc="9DC2AC4E">
      <w:numFmt w:val="decimal"/>
      <w:lvlText w:val=""/>
      <w:lvlJc w:val="left"/>
    </w:lvl>
    <w:lvl w:ilvl="7" w:tplc="CF7A0214">
      <w:numFmt w:val="decimal"/>
      <w:lvlText w:val=""/>
      <w:lvlJc w:val="left"/>
    </w:lvl>
    <w:lvl w:ilvl="8" w:tplc="F5A21156">
      <w:numFmt w:val="decimal"/>
      <w:lvlText w:val=""/>
      <w:lvlJc w:val="left"/>
    </w:lvl>
  </w:abstractNum>
  <w:num w:numId="1" w16cid:durableId="697661531">
    <w:abstractNumId w:val="0"/>
    <w:lvlOverride w:ilvl="0">
      <w:startOverride w:val="1"/>
    </w:lvlOverride>
  </w:num>
  <w:num w:numId="2" w16cid:durableId="741560440">
    <w:abstractNumId w:val="1"/>
    <w:lvlOverride w:ilvl="0">
      <w:startOverride w:val="1"/>
    </w:lvlOverride>
  </w:num>
  <w:num w:numId="3" w16cid:durableId="966349663">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1A06"/>
    <w:rsid w:val="003817C0"/>
    <w:rsid w:val="00434315"/>
    <w:rsid w:val="004C2E01"/>
    <w:rsid w:val="00552F14"/>
    <w:rsid w:val="005A1A06"/>
    <w:rsid w:val="005C403D"/>
    <w:rsid w:val="005D7439"/>
    <w:rsid w:val="00627B55"/>
    <w:rsid w:val="006B082B"/>
    <w:rsid w:val="007B1285"/>
    <w:rsid w:val="00803F7D"/>
    <w:rsid w:val="009A1FFB"/>
    <w:rsid w:val="00AD5515"/>
    <w:rsid w:val="00B226BA"/>
    <w:rsid w:val="00C01834"/>
    <w:rsid w:val="00C97E36"/>
    <w:rsid w:val="00D27527"/>
    <w:rsid w:val="00E22ADF"/>
    <w:rsid w:val="00E54816"/>
    <w:rsid w:val="00F14932"/>
    <w:rsid w:val="00FD7B80"/>
    <w:rsid w:val="00FF0DE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118967"/>
  <w15:docId w15:val="{5487D0A4-EDC2-4C2B-BEC3-06D363801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3817C0"/>
    <w:rPr>
      <w:color w:val="605E5C"/>
      <w:shd w:val="clear" w:color="auto" w:fill="E1DFDD"/>
    </w:rPr>
  </w:style>
  <w:style w:type="paragraph" w:styleId="Header">
    <w:name w:val="header"/>
    <w:basedOn w:val="Normal"/>
    <w:link w:val="HeaderChar"/>
    <w:uiPriority w:val="99"/>
    <w:unhideWhenUsed/>
    <w:rsid w:val="00E54816"/>
    <w:pPr>
      <w:tabs>
        <w:tab w:val="center" w:pos="4513"/>
        <w:tab w:val="right" w:pos="9026"/>
      </w:tabs>
    </w:pPr>
  </w:style>
  <w:style w:type="character" w:customStyle="1" w:styleId="HeaderChar">
    <w:name w:val="Header Char"/>
    <w:basedOn w:val="DefaultParagraphFont"/>
    <w:link w:val="Header"/>
    <w:uiPriority w:val="99"/>
    <w:rsid w:val="00E54816"/>
  </w:style>
  <w:style w:type="paragraph" w:styleId="Footer">
    <w:name w:val="footer"/>
    <w:basedOn w:val="Normal"/>
    <w:link w:val="FooterChar"/>
    <w:uiPriority w:val="99"/>
    <w:unhideWhenUsed/>
    <w:rsid w:val="00E54816"/>
    <w:pPr>
      <w:tabs>
        <w:tab w:val="center" w:pos="4513"/>
        <w:tab w:val="right" w:pos="9026"/>
      </w:tabs>
    </w:pPr>
  </w:style>
  <w:style w:type="character" w:customStyle="1" w:styleId="FooterChar">
    <w:name w:val="Footer Char"/>
    <w:basedOn w:val="DefaultParagraphFont"/>
    <w:link w:val="Footer"/>
    <w:uiPriority w:val="99"/>
    <w:rsid w:val="00E54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2042</Words>
  <Characters>11645</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Sushant Josyula</cp:lastModifiedBy>
  <cp:revision>2</cp:revision>
  <dcterms:created xsi:type="dcterms:W3CDTF">2026-08-03T16:57:00Z</dcterms:created>
  <dcterms:modified xsi:type="dcterms:W3CDTF">2026-08-03T16:57:00Z</dcterms:modified>
</cp:coreProperties>
</file>